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174A1A" w14:textId="77777777" w:rsidR="00000000" w:rsidRDefault="00244897" w:rsidP="001F1180">
      <w:pPr>
        <w:rPr>
          <w:rFonts w:ascii="Arial" w:hAnsi="Arial" w:cs="Arial"/>
          <w:sz w:val="22"/>
          <w:szCs w:val="22"/>
        </w:rPr>
      </w:pPr>
    </w:p>
    <w:p w14:paraId="35829FF0" w14:textId="2B0944F8" w:rsidR="00000000" w:rsidRDefault="00244897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Nº 0</w:t>
      </w:r>
      <w:r w:rsidR="003E669E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 DE 10 DE JUNHO DE 2025</w:t>
      </w:r>
    </w:p>
    <w:p w14:paraId="7CE36F3D" w14:textId="77777777" w:rsidR="00C74B1C" w:rsidRDefault="00C74B1C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F3E8184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FBA228" w14:textId="3C2F617C" w:rsidR="00000000" w:rsidRDefault="00244897">
      <w:pPr>
        <w:pStyle w:val="Textodecomentrio1"/>
        <w:spacing w:line="360" w:lineRule="auto"/>
        <w:ind w:left="45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Dispõe sobre a autorização autorizado a doar imóvel ao Fundo de Arrendamento Residencial – FAR para fins de moradia, </w:t>
      </w:r>
      <w:r>
        <w:rPr>
          <w:rFonts w:ascii="Arial" w:hAnsi="Arial" w:cs="Arial"/>
          <w:sz w:val="22"/>
          <w:szCs w:val="22"/>
        </w:rPr>
        <w:t>define os critérios pertinentes e dá outras providências.</w:t>
      </w:r>
    </w:p>
    <w:p w14:paraId="00BBA24D" w14:textId="77777777" w:rsidR="00C74B1C" w:rsidRDefault="00C74B1C">
      <w:pPr>
        <w:pStyle w:val="Textodecomentrio1"/>
        <w:spacing w:line="360" w:lineRule="auto"/>
        <w:ind w:left="4535"/>
        <w:jc w:val="both"/>
        <w:rPr>
          <w:rFonts w:ascii="Arial" w:hAnsi="Arial" w:cs="Arial"/>
          <w:sz w:val="22"/>
          <w:szCs w:val="22"/>
        </w:rPr>
      </w:pPr>
    </w:p>
    <w:p w14:paraId="0F88C674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321587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 Prefeito Senhor Jorge Alberto </w:t>
      </w:r>
      <w:r>
        <w:rPr>
          <w:rFonts w:ascii="Arial" w:hAnsi="Arial" w:cs="Arial"/>
          <w:sz w:val="22"/>
          <w:szCs w:val="22"/>
        </w:rPr>
        <w:t>Pereira Saidelles, no uso de suas atribuições legais conferidas pelo inciso III do art. 58 da Lei Orgânica, apresenta o seguinte projeto de lei:</w:t>
      </w:r>
    </w:p>
    <w:p w14:paraId="55709729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63E5CC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1º Fica o Poder Executivo autorizado a doar imóvel ao Fundo de Arrendamento Residencial – FAR, regido pe</w:t>
      </w:r>
      <w:r>
        <w:rPr>
          <w:rFonts w:ascii="Arial" w:hAnsi="Arial" w:cs="Arial"/>
          <w:sz w:val="22"/>
          <w:szCs w:val="22"/>
        </w:rPr>
        <w:t>la Lei Federal no 10.188, de 12 de fevereiro de 2001, representado pela Caixa Econômica Federal – CEF, responsável pela gestão do FAR e operacionalização do Programa Minha Casa, Minha Vida – PMCMV, nos termos da Lei Federal no 14.620, de 13 de julho de 202</w:t>
      </w:r>
      <w:r>
        <w:rPr>
          <w:rFonts w:ascii="Arial" w:hAnsi="Arial" w:cs="Arial"/>
          <w:sz w:val="22"/>
          <w:szCs w:val="22"/>
        </w:rPr>
        <w:t>3, objetivando promover a construção de moradias destinadas à alienação para famílias que se enquadrem no Programa Minha Casa, Minha Vida – PMCMV, sendo o imóvel abaixo relacionado como:</w:t>
      </w:r>
    </w:p>
    <w:p w14:paraId="22739E26" w14:textId="0A19AB5C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 – Lote 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rbano de propriedade do Município de </w:t>
      </w:r>
      <w:r>
        <w:rPr>
          <w:rFonts w:ascii="Arial" w:hAnsi="Arial" w:cs="Arial"/>
          <w:sz w:val="22"/>
          <w:szCs w:val="22"/>
        </w:rPr>
        <w:t>Dilermando de Aguiar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 área de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D73A78" w:rsidRPr="002C11DB">
        <w:rPr>
          <w:rFonts w:ascii="Arial" w:hAnsi="Arial" w:cs="Arial"/>
          <w:sz w:val="22"/>
          <w:szCs w:val="22"/>
        </w:rPr>
        <w:t>13</w:t>
      </w:r>
      <w:r w:rsidRPr="002C11DB">
        <w:rPr>
          <w:rFonts w:ascii="Arial" w:hAnsi="Arial" w:cs="Arial"/>
          <w:sz w:val="22"/>
          <w:szCs w:val="22"/>
        </w:rPr>
        <w:t>.</w:t>
      </w:r>
      <w:r w:rsidR="00D73A78" w:rsidRPr="002C11DB">
        <w:rPr>
          <w:rFonts w:ascii="Arial" w:hAnsi="Arial" w:cs="Arial"/>
          <w:sz w:val="22"/>
          <w:szCs w:val="22"/>
        </w:rPr>
        <w:t>555</w:t>
      </w:r>
      <w:r w:rsidRPr="002C11DB">
        <w:rPr>
          <w:rFonts w:ascii="Arial" w:hAnsi="Arial" w:cs="Arial"/>
          <w:sz w:val="22"/>
          <w:szCs w:val="22"/>
        </w:rPr>
        <w:t>,00 m² (</w:t>
      </w:r>
      <w:r w:rsidR="00D73A78" w:rsidRPr="002C11DB">
        <w:rPr>
          <w:rFonts w:ascii="Arial" w:hAnsi="Arial" w:cs="Arial"/>
          <w:sz w:val="22"/>
          <w:szCs w:val="22"/>
        </w:rPr>
        <w:t>treze mil e quinhentos e cinquenta e cinco metros quadrados</w:t>
      </w:r>
      <w:r w:rsidRPr="002C11DB">
        <w:rPr>
          <w:rFonts w:ascii="Arial" w:hAnsi="Arial" w:cs="Arial"/>
          <w:sz w:val="22"/>
          <w:szCs w:val="22"/>
        </w:rPr>
        <w:t xml:space="preserve">), </w:t>
      </w:r>
      <w:r w:rsidRPr="002C11DB">
        <w:rPr>
          <w:rFonts w:ascii="Arial" w:hAnsi="Arial" w:cs="Arial"/>
          <w:sz w:val="22"/>
          <w:szCs w:val="22"/>
        </w:rPr>
        <w:t>sem benfeitorias, com frente para a Rua</w:t>
      </w:r>
      <w:r w:rsidR="002C11DB" w:rsidRPr="002C11DB">
        <w:rPr>
          <w:rFonts w:ascii="Arial" w:hAnsi="Arial" w:cs="Arial"/>
          <w:sz w:val="22"/>
          <w:szCs w:val="22"/>
        </w:rPr>
        <w:t xml:space="preserve"> Roque Calage</w:t>
      </w:r>
      <w:r w:rsidRPr="002C11DB">
        <w:rPr>
          <w:rFonts w:ascii="Arial" w:hAnsi="Arial" w:cs="Arial"/>
          <w:sz w:val="22"/>
          <w:szCs w:val="22"/>
        </w:rPr>
        <w:t xml:space="preserve">, pelo lado ímpar da numeração, distante </w:t>
      </w:r>
      <w:r w:rsidR="002C11DB" w:rsidRPr="002C11DB">
        <w:rPr>
          <w:rFonts w:ascii="Arial" w:hAnsi="Arial" w:cs="Arial"/>
          <w:sz w:val="22"/>
          <w:szCs w:val="22"/>
        </w:rPr>
        <w:t>20</w:t>
      </w:r>
      <w:r w:rsidRPr="002C11DB">
        <w:rPr>
          <w:rFonts w:ascii="Arial" w:hAnsi="Arial" w:cs="Arial"/>
          <w:sz w:val="22"/>
          <w:szCs w:val="22"/>
        </w:rPr>
        <w:t xml:space="preserve">,00 metros da </w:t>
      </w:r>
      <w:r w:rsidR="002C11DB" w:rsidRPr="002C11DB">
        <w:rPr>
          <w:rFonts w:ascii="Arial" w:hAnsi="Arial" w:cs="Arial"/>
          <w:sz w:val="22"/>
          <w:szCs w:val="22"/>
        </w:rPr>
        <w:t xml:space="preserve">esquina com a </w:t>
      </w:r>
      <w:r w:rsidRPr="002C11DB">
        <w:rPr>
          <w:rFonts w:ascii="Arial" w:hAnsi="Arial" w:cs="Arial"/>
          <w:sz w:val="22"/>
          <w:szCs w:val="22"/>
        </w:rPr>
        <w:t>Rua</w:t>
      </w:r>
      <w:r w:rsidR="002C11DB" w:rsidRPr="002C11DB">
        <w:rPr>
          <w:rFonts w:ascii="Arial" w:hAnsi="Arial" w:cs="Arial"/>
          <w:sz w:val="22"/>
          <w:szCs w:val="22"/>
        </w:rPr>
        <w:t xml:space="preserve"> Caturino Cezar</w:t>
      </w:r>
      <w:r w:rsidRPr="002C11DB">
        <w:rPr>
          <w:rFonts w:ascii="Arial" w:hAnsi="Arial" w:cs="Arial"/>
          <w:sz w:val="22"/>
          <w:szCs w:val="22"/>
        </w:rPr>
        <w:t xml:space="preserve"> , localizado em um quarteirão definido pelas </w:t>
      </w:r>
      <w:r w:rsidRPr="002C11DB">
        <w:rPr>
          <w:rFonts w:ascii="Arial" w:hAnsi="Arial" w:cs="Arial"/>
          <w:sz w:val="22"/>
          <w:szCs w:val="22"/>
        </w:rPr>
        <w:t>R</w:t>
      </w:r>
      <w:r w:rsidRPr="002C11DB">
        <w:rPr>
          <w:rFonts w:ascii="Arial" w:hAnsi="Arial" w:cs="Arial"/>
          <w:sz w:val="22"/>
          <w:szCs w:val="22"/>
        </w:rPr>
        <w:t>uas</w:t>
      </w:r>
      <w:r w:rsidR="002C11DB" w:rsidRPr="002C11DB">
        <w:rPr>
          <w:rFonts w:ascii="Arial" w:hAnsi="Arial" w:cs="Arial"/>
          <w:sz w:val="22"/>
          <w:szCs w:val="22"/>
        </w:rPr>
        <w:t xml:space="preserve"> Roque Calage, Caturino Cezar, Duque de Caxias e Rua dos Cedros</w:t>
      </w:r>
      <w:r w:rsidRPr="002C11DB">
        <w:rPr>
          <w:rFonts w:ascii="Arial" w:hAnsi="Arial" w:cs="Arial"/>
          <w:sz w:val="22"/>
          <w:szCs w:val="22"/>
        </w:rPr>
        <w:t xml:space="preserve">, </w:t>
      </w:r>
      <w:r w:rsidRPr="002C11DB">
        <w:rPr>
          <w:rFonts w:ascii="Arial" w:hAnsi="Arial" w:cs="Arial"/>
          <w:sz w:val="22"/>
          <w:szCs w:val="22"/>
        </w:rPr>
        <w:t>localizado dentro do perímetro urbano, com as med</w:t>
      </w:r>
      <w:r w:rsidRPr="002C11DB">
        <w:rPr>
          <w:rFonts w:ascii="Arial" w:hAnsi="Arial" w:cs="Arial"/>
          <w:sz w:val="22"/>
          <w:szCs w:val="22"/>
        </w:rPr>
        <w:t xml:space="preserve">idas e confrontações de acordo com a matrícula sob o </w:t>
      </w:r>
      <w:r w:rsidRPr="002C11DB">
        <w:rPr>
          <w:rFonts w:ascii="Arial" w:hAnsi="Arial" w:cs="Arial"/>
          <w:sz w:val="22"/>
          <w:szCs w:val="22"/>
        </w:rPr>
        <w:t>n</w:t>
      </w:r>
      <w:r w:rsidRPr="002C11DB">
        <w:rPr>
          <w:rFonts w:ascii="Arial" w:hAnsi="Arial" w:cs="Arial"/>
          <w:sz w:val="22"/>
          <w:szCs w:val="22"/>
        </w:rPr>
        <w:t>º</w:t>
      </w:r>
      <w:r w:rsidRPr="002C11DB">
        <w:rPr>
          <w:rFonts w:ascii="Arial" w:hAnsi="Arial" w:cs="Arial"/>
          <w:sz w:val="22"/>
          <w:szCs w:val="22"/>
        </w:rPr>
        <w:t xml:space="preserve"> </w:t>
      </w:r>
      <w:r w:rsidR="00D73A78" w:rsidRPr="002C11DB">
        <w:rPr>
          <w:rFonts w:ascii="Arial" w:hAnsi="Arial" w:cs="Arial"/>
          <w:sz w:val="22"/>
          <w:szCs w:val="22"/>
        </w:rPr>
        <w:t>19.082</w:t>
      </w:r>
      <w:r w:rsidRPr="002C11DB">
        <w:rPr>
          <w:rFonts w:ascii="Arial" w:hAnsi="Arial" w:cs="Arial"/>
          <w:sz w:val="22"/>
          <w:szCs w:val="22"/>
        </w:rPr>
        <w:t>, do Cartório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Registro de Imóveis da Comarca de </w:t>
      </w:r>
      <w:r>
        <w:rPr>
          <w:rFonts w:ascii="Arial" w:hAnsi="Arial" w:cs="Arial"/>
          <w:sz w:val="22"/>
          <w:szCs w:val="22"/>
        </w:rPr>
        <w:t>São Pedro do Sul</w:t>
      </w:r>
      <w:r>
        <w:rPr>
          <w:rFonts w:ascii="Arial" w:hAnsi="Arial" w:cs="Arial"/>
          <w:sz w:val="22"/>
          <w:szCs w:val="22"/>
        </w:rPr>
        <w:t xml:space="preserve"> - RS.</w:t>
      </w:r>
    </w:p>
    <w:p w14:paraId="4886E5E1" w14:textId="5B49DC5A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Parágrafo único. O bem público imóvel referido no inciso I deste artigo foi avaliado </w:t>
      </w:r>
      <w:r w:rsidR="002C11DB">
        <w:rPr>
          <w:rFonts w:ascii="Arial" w:hAnsi="Arial" w:cs="Arial"/>
          <w:sz w:val="22"/>
          <w:szCs w:val="22"/>
        </w:rPr>
        <w:t>pelo engenheiro da Caixa Econômica Federal e pelo engenheiro efetivo do município.</w:t>
      </w:r>
    </w:p>
    <w:p w14:paraId="3B9742FC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2DCCEA" w14:textId="34F192AB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</w:t>
      </w:r>
      <w:r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O programa minha casa minha vida - FAR é destinado a população em vulnerabilidade social, com renda familiar de 01 (um) até 03 (três) sa</w:t>
      </w:r>
      <w:r>
        <w:rPr>
          <w:rFonts w:ascii="Arial" w:hAnsi="Arial" w:cs="Arial"/>
          <w:sz w:val="22"/>
          <w:szCs w:val="22"/>
        </w:rPr>
        <w:t>lários mínimos, com finalidade de assegurar o acesso a terrenos urbanizados e a moradia digna e sustentável.</w:t>
      </w:r>
    </w:p>
    <w:p w14:paraId="32946AC9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1B2797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3º São objetivos desta Lei:</w:t>
      </w:r>
    </w:p>
    <w:p w14:paraId="0ECAABFE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- viabilizar para a população em vulnerabilidade social acesso à terra urbanizada e a moradia digna e sustentá</w:t>
      </w:r>
      <w:r>
        <w:rPr>
          <w:rFonts w:ascii="Arial" w:hAnsi="Arial" w:cs="Arial"/>
          <w:sz w:val="22"/>
          <w:szCs w:val="22"/>
        </w:rPr>
        <w:t>vel;</w:t>
      </w:r>
    </w:p>
    <w:p w14:paraId="1034E47A" w14:textId="04D1EFE5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- implementar políticas e programas de investimentos e subsídios, promovendo e viabilizando o acesso à habitação voltada à população de menor renda;</w:t>
      </w:r>
    </w:p>
    <w:p w14:paraId="582DCE72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III - articular, compatibilizar, acompanhar e apoiar a atuação das instituições e órgãos que dese</w:t>
      </w:r>
      <w:r>
        <w:rPr>
          <w:rFonts w:ascii="Arial" w:hAnsi="Arial" w:cs="Arial"/>
          <w:sz w:val="22"/>
          <w:szCs w:val="22"/>
        </w:rPr>
        <w:t>mpenham funções no setor da habitação.</w:t>
      </w:r>
    </w:p>
    <w:p w14:paraId="7055D91B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4º Serão adotados os seguintes princípios:</w:t>
      </w:r>
    </w:p>
    <w:p w14:paraId="2876DE04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- compatibilidade e integração das políticas habitacionais federal, estadual e municipal, bem como das demais políticas setoriais de desenvolvimento urbano, ambienta</w:t>
      </w:r>
      <w:r>
        <w:rPr>
          <w:rFonts w:ascii="Arial" w:hAnsi="Arial" w:cs="Arial"/>
          <w:sz w:val="22"/>
          <w:szCs w:val="22"/>
        </w:rPr>
        <w:t>is e de inclusão social;</w:t>
      </w:r>
    </w:p>
    <w:p w14:paraId="73300702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- moradia digna como direito social fundamental, nos termos do artigo 6º da Constituição da República Federativa do Brasil;</w:t>
      </w:r>
    </w:p>
    <w:p w14:paraId="1489C37A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- democratização, descentralização, controle social e transparência dos procedimentos decisórios;</w:t>
      </w:r>
    </w:p>
    <w:p w14:paraId="041CDA98" w14:textId="51C4BB4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 - função social da propriedade urbana visando a garantir atuação direcionada a coibir a especulação imobiliária e permitir o acesso à terra urbana e ao pleno desenvolvimento das funções sociais da cidade e da propriedade</w:t>
      </w:r>
      <w:r w:rsidR="002C11DB">
        <w:rPr>
          <w:rFonts w:ascii="Arial" w:hAnsi="Arial" w:cs="Arial"/>
          <w:sz w:val="22"/>
          <w:szCs w:val="22"/>
        </w:rPr>
        <w:t>.</w:t>
      </w:r>
    </w:p>
    <w:p w14:paraId="03516F8F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FAA054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5º São diretrizes adotad</w:t>
      </w:r>
      <w:r>
        <w:rPr>
          <w:rFonts w:ascii="Arial" w:hAnsi="Arial" w:cs="Arial"/>
          <w:sz w:val="22"/>
          <w:szCs w:val="22"/>
        </w:rPr>
        <w:t>as por esta Lei:</w:t>
      </w:r>
    </w:p>
    <w:p w14:paraId="66E5AFAC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- prioridade para planos, programas e projetos habitacionais para a população de menor renda, podendo promover a articulação com programas e ações do Governo Federal, Estadual e Municipal;</w:t>
      </w:r>
    </w:p>
    <w:p w14:paraId="14914EAD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- utilização prioritária de incentivo ao ap</w:t>
      </w:r>
      <w:r>
        <w:rPr>
          <w:rFonts w:ascii="Arial" w:hAnsi="Arial" w:cs="Arial"/>
          <w:sz w:val="22"/>
          <w:szCs w:val="22"/>
        </w:rPr>
        <w:t>roveitamento de áreas dotadas de infraestrutura não utilizadas ou subutilizadas, inseridas na malha urbana;</w:t>
      </w:r>
    </w:p>
    <w:p w14:paraId="2583F99F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- utilização prioritária de terrenos de propriedade do Poder Público para a implantação de programas habitacionais de interesse social;</w:t>
      </w:r>
    </w:p>
    <w:p w14:paraId="530C1A22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 - s</w:t>
      </w:r>
      <w:r>
        <w:rPr>
          <w:rFonts w:ascii="Arial" w:hAnsi="Arial" w:cs="Arial"/>
          <w:sz w:val="22"/>
          <w:szCs w:val="22"/>
        </w:rPr>
        <w:t>ustentabilidade econômica, financeira e social dos programas e projetos implementados;</w:t>
      </w:r>
    </w:p>
    <w:p w14:paraId="12536E3C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 - incentivo à implementação dos diversos institutos jurídicos que regulamentam o acesso à moradia;</w:t>
      </w:r>
    </w:p>
    <w:p w14:paraId="25B8AC25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 - adoção de mecanismos de acompanhamento e avaliação e de indic</w:t>
      </w:r>
      <w:r>
        <w:rPr>
          <w:rFonts w:ascii="Arial" w:hAnsi="Arial" w:cs="Arial"/>
          <w:sz w:val="22"/>
          <w:szCs w:val="22"/>
        </w:rPr>
        <w:t>adores de impacto social das políticas, planos e programas; e</w:t>
      </w:r>
    </w:p>
    <w:p w14:paraId="38B0D1B2" w14:textId="66316F7A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VII - estabelecer mecanismos de quotas para idosos, deficientes e famílias chefiadas por mulheres dentre o grupo identificado como o de menor renda.</w:t>
      </w:r>
    </w:p>
    <w:p w14:paraId="118E93CF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6973BA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6º O bem imóvel descrito no inciso I d</w:t>
      </w:r>
      <w:r>
        <w:rPr>
          <w:rFonts w:ascii="Arial" w:hAnsi="Arial" w:cs="Arial"/>
          <w:sz w:val="22"/>
          <w:szCs w:val="22"/>
        </w:rPr>
        <w:t>o art. 1º desta Lei deverá ser utilizado exclusivamente no âmbito do Programa Minha Casa, Minha Vida – PMCMV e constará dos bens e direitos integrantes ao patrimônio do Fundo de Arrendamento Residencial – FAR, com fim específico de manter a segregação patr</w:t>
      </w:r>
      <w:r>
        <w:rPr>
          <w:rFonts w:ascii="Arial" w:hAnsi="Arial" w:cs="Arial"/>
          <w:sz w:val="22"/>
          <w:szCs w:val="22"/>
        </w:rPr>
        <w:t>imonial e contábil dos haveres financeiros e imobiliários destinados ao Programa, observadas, quanto a tais bens e direitos, as seguintes restrições:</w:t>
      </w:r>
    </w:p>
    <w:p w14:paraId="52898D25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– não integrar o ativo da Caixa Econômica Federal – CEF;</w:t>
      </w:r>
    </w:p>
    <w:p w14:paraId="01F8B7E9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– não responder direta ou indiretamente po</w:t>
      </w:r>
      <w:r>
        <w:rPr>
          <w:rFonts w:ascii="Arial" w:hAnsi="Arial" w:cs="Arial"/>
          <w:sz w:val="22"/>
          <w:szCs w:val="22"/>
        </w:rPr>
        <w:t>r qualquer obrigação da CEF;</w:t>
      </w:r>
    </w:p>
    <w:p w14:paraId="3DB41599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– não compor a lista de bens e direitos da CEF, para efeito de liquidação judicial ou extrajudicial;</w:t>
      </w:r>
    </w:p>
    <w:p w14:paraId="40AD7204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IV – não poderá ser dado em garantia de débito de operação da CEF;</w:t>
      </w:r>
    </w:p>
    <w:p w14:paraId="58FBCF5B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 – não será passível de execução por quaisquer cred</w:t>
      </w:r>
      <w:r>
        <w:rPr>
          <w:rFonts w:ascii="Arial" w:hAnsi="Arial" w:cs="Arial"/>
          <w:sz w:val="22"/>
          <w:szCs w:val="22"/>
        </w:rPr>
        <w:t>ores da CEF, por mais privilegiados que possam ser;</w:t>
      </w:r>
    </w:p>
    <w:p w14:paraId="4F4EAFF9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VI – não poderão ser constituídos quaisquer ônus reais sobre o imóvel.      </w:t>
      </w:r>
    </w:p>
    <w:p w14:paraId="18C1BC1A" w14:textId="25C939AD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7º O donatário terá como encargo utilizar o imóvel doado exclusivamente para a construção de unidades residenciais, dest</w:t>
      </w:r>
      <w:r>
        <w:rPr>
          <w:rFonts w:ascii="Arial" w:hAnsi="Arial" w:cs="Arial"/>
          <w:sz w:val="22"/>
          <w:szCs w:val="22"/>
        </w:rPr>
        <w:t>inadas à população de baixa renda, sob pena de revogação da doação.</w:t>
      </w:r>
    </w:p>
    <w:p w14:paraId="33B674A5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59E059" w14:textId="79A5ACC3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8º Em quaisquer das hipóteses preconizadas nos artigos 6º e 7º desta Lei, a revogação operar-se-á automaticamente, independente de aviso, interpelação ou notificação do donatário, re</w:t>
      </w:r>
      <w:r>
        <w:rPr>
          <w:rFonts w:ascii="Arial" w:hAnsi="Arial" w:cs="Arial"/>
          <w:sz w:val="22"/>
          <w:szCs w:val="22"/>
        </w:rPr>
        <w:t>vertendo a propriedade do imóvel doado ao domínio pleno e propriedade do Município de Santa Rosa.</w:t>
      </w:r>
    </w:p>
    <w:p w14:paraId="63E1B856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0AB4C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9º O imóvel objeto da doação, nos termos desta Lei, observado ao disposto na Lei Municipal nº. 437/2007, que institui o Código Tributário Municipal – CT</w:t>
      </w:r>
      <w:r>
        <w:rPr>
          <w:rFonts w:ascii="Arial" w:hAnsi="Arial" w:cs="Arial"/>
          <w:sz w:val="22"/>
          <w:szCs w:val="22"/>
        </w:rPr>
        <w:t>M, e na Constituição Federal, será isento e imune do recolhimento dos seguintes tributos:</w:t>
      </w:r>
    </w:p>
    <w:p w14:paraId="0EB84AD8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– Imposto sobre Transmissão Inter Vivos de Bens Imóveis – ITIV/ITBI, quando da transferência do imóvel objeto da doação para os beneficiários do Programa Minha Cas</w:t>
      </w:r>
      <w:r>
        <w:rPr>
          <w:rFonts w:ascii="Arial" w:hAnsi="Arial" w:cs="Arial"/>
          <w:sz w:val="22"/>
          <w:szCs w:val="22"/>
        </w:rPr>
        <w:t>a, Minha Vida – PMCMV;</w:t>
      </w:r>
    </w:p>
    <w:p w14:paraId="4F1BF7D7" w14:textId="2306E493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– Imposto sobre Propriedade Predial e Territorial Urbana – IPTU, enquanto permanecer sob a propriedade do Fundo de Arrendamento Residencial – FAR</w:t>
      </w:r>
      <w:r w:rsidR="002C11DB">
        <w:rPr>
          <w:rFonts w:ascii="Arial" w:hAnsi="Arial" w:cs="Arial"/>
          <w:sz w:val="22"/>
          <w:szCs w:val="22"/>
        </w:rPr>
        <w:t>.</w:t>
      </w:r>
    </w:p>
    <w:p w14:paraId="5A7B8FA0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FFD5DC" w14:textId="5141DE1E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10. São meios aptos para a definição das famílias que se enquadram no program</w:t>
      </w:r>
      <w:r>
        <w:rPr>
          <w:rFonts w:ascii="Arial" w:hAnsi="Arial" w:cs="Arial"/>
          <w:sz w:val="22"/>
          <w:szCs w:val="22"/>
        </w:rPr>
        <w:t>a minha casa minha vida a Portaria MCID nº 738, de 22 de julho 2024, alterada pela Portaria MCID nº 1.395, de 13 de dezembro de 2024 que dispõe sobre os procedimentos para a definição das famílias beneficiárias de empreendimentos habitacionais no âmbito da</w:t>
      </w:r>
      <w:r>
        <w:rPr>
          <w:rFonts w:ascii="Arial" w:hAnsi="Arial" w:cs="Arial"/>
          <w:sz w:val="22"/>
          <w:szCs w:val="22"/>
        </w:rPr>
        <w:t xml:space="preserve"> linha de atendimento de provisão subsidiada de unidades habitacionais em áreas urbanas com recursos do Fundo de Arrendamento Residencial (FAR), integrante do Programa Minha Casa Minha Vida.</w:t>
      </w:r>
    </w:p>
    <w:p w14:paraId="66F2FB70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BC4232" w14:textId="12A4F00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 fins de cumprimento do exposto no parágrafo anteri</w:t>
      </w:r>
      <w:r>
        <w:rPr>
          <w:rFonts w:ascii="Arial" w:hAnsi="Arial" w:cs="Arial"/>
          <w:sz w:val="22"/>
          <w:szCs w:val="22"/>
        </w:rPr>
        <w:t>or, o Poder Executivo poderá nomear, através de Decreto, uma comissão de avaliação composta de no mínimo três pessoas idôneas e conhecimento técnico, para avaliarem o imóvel.</w:t>
      </w:r>
    </w:p>
    <w:p w14:paraId="5C98E514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459F2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Art. </w:t>
      </w:r>
      <w:r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O beneficiário da doação de terreno não poderá dispor do imóvel pelo pra</w:t>
      </w:r>
      <w:r>
        <w:rPr>
          <w:rFonts w:ascii="Arial" w:hAnsi="Arial" w:cs="Arial"/>
          <w:sz w:val="22"/>
          <w:szCs w:val="22"/>
        </w:rPr>
        <w:t>zo de 10 (dez) anos e não será mais beneficiário de outras doações de corrente de programas de habitação de interesse social, devendo esta regra constar no Termo de Compromisso e ciência formal do beneficiário, e/ou cadastrado no Cadúnico.</w:t>
      </w:r>
    </w:p>
    <w:p w14:paraId="753B7453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§1º O município</w:t>
      </w:r>
      <w:r>
        <w:rPr>
          <w:rFonts w:ascii="Arial" w:hAnsi="Arial" w:cs="Arial"/>
          <w:sz w:val="22"/>
          <w:szCs w:val="22"/>
        </w:rPr>
        <w:t xml:space="preserve"> não poderá escriturar o terreno em nome do beneficiado antes da construção, sendo efetivada a matrícula de transferência do imóvel somente após a finalização da obra.</w:t>
      </w:r>
    </w:p>
    <w:p w14:paraId="04EA8513" w14:textId="7099145E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§2º Os terrenos destinam-se exclusivamente à construção de casas populares a fim de mor</w:t>
      </w:r>
      <w:r>
        <w:rPr>
          <w:rFonts w:ascii="Arial" w:hAnsi="Arial" w:cs="Arial"/>
          <w:sz w:val="22"/>
          <w:szCs w:val="22"/>
        </w:rPr>
        <w:t>adia própria aos beneficiários.</w:t>
      </w:r>
    </w:p>
    <w:p w14:paraId="3BAF4DC3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FFD330" w14:textId="0455E973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Art.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 Poder Executivo dará prioridade as famílias conforme determina o art. 13 da</w:t>
      </w:r>
      <w:r>
        <w:rPr>
          <w:rFonts w:ascii="Arial" w:hAnsi="Arial" w:cs="Arial"/>
          <w:sz w:val="22"/>
          <w:szCs w:val="22"/>
        </w:rPr>
        <w:t xml:space="preserve"> Portaria MCID nº 738, de 22 de julho 2024, alterada pela Portaria MCID nº 1.395, de 13 de dezembro de 2024.</w:t>
      </w:r>
    </w:p>
    <w:p w14:paraId="7855B57F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 1º O profissional do ser</w:t>
      </w:r>
      <w:r>
        <w:rPr>
          <w:rFonts w:ascii="Arial" w:hAnsi="Arial" w:cs="Arial"/>
          <w:sz w:val="22"/>
          <w:szCs w:val="22"/>
        </w:rPr>
        <w:t>viço social identificará a família com maior número de crianças e adolescentes, havendo possibilidade de outras doações, seguirá com prioridade a mulher chefe de família e com crianças sob seus cuidados, prosseguindo, na sequência, a prioridade à pessoa co</w:t>
      </w:r>
      <w:r>
        <w:rPr>
          <w:rFonts w:ascii="Arial" w:hAnsi="Arial" w:cs="Arial"/>
          <w:sz w:val="22"/>
          <w:szCs w:val="22"/>
        </w:rPr>
        <w:t>m idoso sob seus cuidados, à mulher chefe de família, e, finalmente, casais que estiverem iniciando a vida familiar.</w:t>
      </w:r>
    </w:p>
    <w:p w14:paraId="0B20B9E8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 2</w:t>
      </w:r>
      <w:r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Será reservada uma cota de 3% (três por cento) para idosos e de 2% para família com pessoa com deficiência, desde que inscritos forma</w:t>
      </w:r>
      <w:r>
        <w:rPr>
          <w:rFonts w:ascii="Arial" w:hAnsi="Arial" w:cs="Arial"/>
          <w:sz w:val="22"/>
          <w:szCs w:val="22"/>
        </w:rPr>
        <w:t>lmente no programa.</w:t>
      </w:r>
    </w:p>
    <w:p w14:paraId="0188BAFF" w14:textId="2BC0815C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 3º Uma Comissão Técnica formada por 3 (três) profissionais, nomeada pelo Chefe do Poder Executivo será responsável pelo parecer técnico prévio, antes da aprovação do Conselho Municipal de Habitação e Saneamento</w:t>
      </w:r>
      <w:r w:rsidR="002C11DB">
        <w:rPr>
          <w:rFonts w:ascii="Arial" w:hAnsi="Arial" w:cs="Arial"/>
          <w:sz w:val="22"/>
          <w:szCs w:val="22"/>
        </w:rPr>
        <w:t>.</w:t>
      </w:r>
    </w:p>
    <w:p w14:paraId="132F6DD5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A8793" w14:textId="1D953BD4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O interessa</w:t>
      </w:r>
      <w:r>
        <w:rPr>
          <w:rFonts w:ascii="Arial" w:hAnsi="Arial" w:cs="Arial"/>
          <w:sz w:val="22"/>
          <w:szCs w:val="22"/>
        </w:rPr>
        <w:t>do em ser atendido pelo que trata esta Lei deverá se inscrever no Cadastro             Municipal de Habitação e manter atualizado seus dados, com atualizações anuais.</w:t>
      </w:r>
    </w:p>
    <w:p w14:paraId="0124F761" w14:textId="77777777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B0026B" w14:textId="02330308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Os incentivos serão desenvolvidos, dentro das possibilidades financeiras e obse</w:t>
      </w:r>
      <w:r>
        <w:rPr>
          <w:rFonts w:ascii="Arial" w:hAnsi="Arial" w:cs="Arial"/>
          <w:sz w:val="22"/>
          <w:szCs w:val="22"/>
        </w:rPr>
        <w:t>rvadas             as prioridades do PPA, LDO e LOA e dos planos anuais estabelecidos pelo Conselho Municipal de Habitação e Saneamento.</w:t>
      </w:r>
    </w:p>
    <w:p w14:paraId="562901C1" w14:textId="77777777" w:rsidR="00000000" w:rsidRDefault="00244897" w:rsidP="002C11DB">
      <w:pPr>
        <w:pStyle w:val="Textodecomentrio1"/>
        <w:spacing w:line="360" w:lineRule="auto"/>
      </w:pPr>
    </w:p>
    <w:p w14:paraId="7E351DDB" w14:textId="039D05B0" w:rsidR="00000000" w:rsidRPr="002C11DB" w:rsidRDefault="002448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C11DB">
        <w:rPr>
          <w:rFonts w:ascii="Arial" w:hAnsi="Arial" w:cs="Arial"/>
          <w:sz w:val="22"/>
          <w:szCs w:val="22"/>
        </w:rPr>
        <w:t xml:space="preserve">Art. </w:t>
      </w:r>
      <w:r w:rsidR="002C11DB" w:rsidRPr="002C11DB">
        <w:rPr>
          <w:rFonts w:ascii="Arial" w:hAnsi="Arial" w:cs="Arial"/>
          <w:sz w:val="22"/>
          <w:szCs w:val="22"/>
        </w:rPr>
        <w:t>16</w:t>
      </w:r>
      <w:r w:rsidRPr="002C11DB">
        <w:rPr>
          <w:rFonts w:ascii="Arial" w:hAnsi="Arial" w:cs="Arial"/>
          <w:sz w:val="22"/>
          <w:szCs w:val="22"/>
        </w:rPr>
        <w:t xml:space="preserve">. </w:t>
      </w:r>
      <w:r w:rsidRPr="002C11DB">
        <w:rPr>
          <w:rFonts w:ascii="Arial" w:hAnsi="Arial" w:cs="Arial"/>
          <w:sz w:val="22"/>
          <w:szCs w:val="22"/>
        </w:rPr>
        <w:t>C</w:t>
      </w:r>
      <w:r w:rsidRPr="002C11DB">
        <w:rPr>
          <w:rFonts w:ascii="Arial" w:hAnsi="Arial" w:cs="Arial"/>
          <w:sz w:val="22"/>
          <w:szCs w:val="22"/>
        </w:rPr>
        <w:t>omprovado o desvio de finalidade, por qualquer meio de prova, independentemente de qualquer procedimento judicial, o imóvel reverterá, in continenti, ao patrimônio do Município, sem direito a qualquer indenização ao donatário.</w:t>
      </w:r>
    </w:p>
    <w:p w14:paraId="39EFD68D" w14:textId="77777777" w:rsidR="002C11DB" w:rsidRPr="002C11DB" w:rsidRDefault="002C11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C7451B" w14:textId="1B6599AA" w:rsidR="00000000" w:rsidRPr="002C11DB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1DB">
        <w:rPr>
          <w:rFonts w:ascii="Arial" w:hAnsi="Arial" w:cs="Arial"/>
          <w:sz w:val="22"/>
          <w:szCs w:val="22"/>
        </w:rPr>
        <w:tab/>
        <w:t xml:space="preserve">Art. </w:t>
      </w:r>
      <w:r w:rsidR="002C11DB" w:rsidRPr="002C11DB">
        <w:rPr>
          <w:rFonts w:ascii="Arial" w:hAnsi="Arial" w:cs="Arial"/>
          <w:sz w:val="22"/>
          <w:szCs w:val="22"/>
        </w:rPr>
        <w:t>17</w:t>
      </w:r>
      <w:r w:rsidRPr="002C11DB">
        <w:rPr>
          <w:rFonts w:ascii="Arial" w:hAnsi="Arial" w:cs="Arial"/>
          <w:sz w:val="22"/>
          <w:szCs w:val="22"/>
        </w:rPr>
        <w:t>.</w:t>
      </w:r>
      <w:r w:rsidRPr="002C11DB">
        <w:rPr>
          <w:rFonts w:ascii="Arial" w:hAnsi="Arial" w:cs="Arial"/>
          <w:sz w:val="22"/>
          <w:szCs w:val="22"/>
        </w:rPr>
        <w:t xml:space="preserve"> O imóvel objeto da </w:t>
      </w:r>
      <w:r w:rsidRPr="002C11DB">
        <w:rPr>
          <w:rFonts w:ascii="Arial" w:hAnsi="Arial" w:cs="Arial"/>
          <w:sz w:val="22"/>
          <w:szCs w:val="22"/>
        </w:rPr>
        <w:t>presente doação não poderá ser vendido, permutado, cedido, locado, arrendado, doado a terceiros, dado em comodato ou qualquer outra espécie de transação, se prestado unicamente a finalidade de cumprimento de sua função social de habitação, para as famílias</w:t>
      </w:r>
      <w:r w:rsidRPr="002C11DB">
        <w:rPr>
          <w:rFonts w:ascii="Arial" w:hAnsi="Arial" w:cs="Arial"/>
          <w:sz w:val="22"/>
          <w:szCs w:val="22"/>
        </w:rPr>
        <w:t xml:space="preserve"> com renda enquadradas no PMCMV-E.</w:t>
      </w:r>
    </w:p>
    <w:p w14:paraId="4A63D859" w14:textId="736F9C68" w:rsidR="002C11DB" w:rsidRDefault="002C11DB">
      <w:pPr>
        <w:pStyle w:val="Textodecomentrio1"/>
        <w:spacing w:line="360" w:lineRule="auto"/>
        <w:jc w:val="both"/>
        <w:rPr>
          <w:rFonts w:ascii="Arial" w:hAnsi="Arial" w:cs="Arial"/>
          <w:color w:val="FF3838"/>
          <w:sz w:val="22"/>
          <w:szCs w:val="22"/>
        </w:rPr>
      </w:pPr>
    </w:p>
    <w:p w14:paraId="1B4D22AA" w14:textId="4E5C4978" w:rsidR="002C11DB" w:rsidRDefault="002C11DB" w:rsidP="002C11DB">
      <w:pPr>
        <w:pStyle w:val="Textodecomentrio1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Revogam-se disposições em contrário.</w:t>
      </w:r>
    </w:p>
    <w:p w14:paraId="7937947E" w14:textId="77777777" w:rsidR="002C11DB" w:rsidRDefault="002C11DB" w:rsidP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8A393" w14:textId="42AD9350" w:rsidR="002C11DB" w:rsidRDefault="002C11DB" w:rsidP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Esta Lei entra em vigor na data de sua publicação</w:t>
      </w:r>
      <w:r w:rsidR="00C74B1C">
        <w:rPr>
          <w:rFonts w:ascii="Arial" w:hAnsi="Arial" w:cs="Arial"/>
          <w:sz w:val="22"/>
          <w:szCs w:val="22"/>
        </w:rPr>
        <w:t>.</w:t>
      </w:r>
    </w:p>
    <w:p w14:paraId="17F93177" w14:textId="4DEB6E0F" w:rsidR="00C74B1C" w:rsidRDefault="00C74B1C" w:rsidP="002C11DB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428564" w14:textId="77777777" w:rsidR="00C74B1C" w:rsidRPr="00C74B1C" w:rsidRDefault="00C74B1C" w:rsidP="00C74B1C">
      <w:pPr>
        <w:pStyle w:val="Textodecomentrio1"/>
        <w:spacing w:line="360" w:lineRule="auto"/>
        <w:jc w:val="both"/>
      </w:pPr>
    </w:p>
    <w:p w14:paraId="5BEA0865" w14:textId="277203F5" w:rsid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</w:rPr>
      </w:pPr>
      <w:r w:rsidRPr="00C74B1C">
        <w:rPr>
          <w:rFonts w:ascii="Arial" w:hAnsi="Arial" w:cs="Arial"/>
        </w:rPr>
        <w:t xml:space="preserve">Gabinete do Prefeito Municipal, Dilermando de Aguiar, ao </w:t>
      </w:r>
      <w:r w:rsidR="003E669E">
        <w:rPr>
          <w:rFonts w:ascii="Arial" w:hAnsi="Arial" w:cs="Arial"/>
        </w:rPr>
        <w:t>10</w:t>
      </w:r>
      <w:r w:rsidRPr="00C74B1C">
        <w:rPr>
          <w:rFonts w:ascii="Arial" w:hAnsi="Arial" w:cs="Arial"/>
        </w:rPr>
        <w:t xml:space="preserve"> (</w:t>
      </w:r>
      <w:r w:rsidR="003E669E">
        <w:rPr>
          <w:rFonts w:ascii="Arial" w:hAnsi="Arial" w:cs="Arial"/>
        </w:rPr>
        <w:t>dez</w:t>
      </w:r>
      <w:r w:rsidRPr="00C74B1C">
        <w:rPr>
          <w:rFonts w:ascii="Arial" w:hAnsi="Arial" w:cs="Arial"/>
        </w:rPr>
        <w:t>) dias do mês de junho do ano de 2025.</w:t>
      </w:r>
    </w:p>
    <w:p w14:paraId="23F037CB" w14:textId="51993665" w:rsid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</w:rPr>
      </w:pPr>
    </w:p>
    <w:p w14:paraId="7DC89DC0" w14:textId="1458BF85" w:rsid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</w:rPr>
      </w:pPr>
    </w:p>
    <w:p w14:paraId="2BB81308" w14:textId="4FBED8D8" w:rsid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</w:rPr>
      </w:pPr>
    </w:p>
    <w:p w14:paraId="031D212A" w14:textId="77777777" w:rsidR="00C74B1C" w:rsidRPr="00C74B1C" w:rsidRDefault="00C74B1C" w:rsidP="00C74B1C">
      <w:pPr>
        <w:pStyle w:val="Textodecomentrio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 xml:space="preserve">Danesio Teixeira de Medeiros </w:t>
      </w:r>
    </w:p>
    <w:p w14:paraId="6791C67C" w14:textId="0F8E0D6B" w:rsidR="00C74B1C" w:rsidRPr="00C74B1C" w:rsidRDefault="00C74B1C" w:rsidP="00C74B1C">
      <w:pPr>
        <w:pStyle w:val="Textodecomentrio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5D19A297" w14:textId="076AD534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1D301" w14:textId="1788A029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7513B7" w14:textId="798256FA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4FACA2" w14:textId="439E8769" w:rsidR="003E669E" w:rsidRDefault="003E669E" w:rsidP="003E669E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69D0C4" w14:textId="148255D5" w:rsidR="003E669E" w:rsidRPr="003E669E" w:rsidRDefault="003E669E" w:rsidP="003E669E">
      <w:pPr>
        <w:pStyle w:val="Textodecomentrio1"/>
        <w:jc w:val="center"/>
        <w:rPr>
          <w:rFonts w:ascii="Arial" w:hAnsi="Arial" w:cs="Arial"/>
          <w:sz w:val="22"/>
          <w:szCs w:val="22"/>
        </w:rPr>
      </w:pPr>
      <w:r w:rsidRPr="003E669E">
        <w:rPr>
          <w:rFonts w:ascii="Arial" w:hAnsi="Arial" w:cs="Arial"/>
          <w:sz w:val="22"/>
          <w:szCs w:val="22"/>
        </w:rPr>
        <w:t>Jorge Alberto Pereira Saidelles</w:t>
      </w:r>
    </w:p>
    <w:p w14:paraId="2A7AB929" w14:textId="77777777" w:rsidR="003E669E" w:rsidRPr="003E669E" w:rsidRDefault="003E669E" w:rsidP="003E669E">
      <w:pPr>
        <w:pStyle w:val="Textodecomentrio1"/>
        <w:jc w:val="center"/>
        <w:rPr>
          <w:rFonts w:ascii="Arial" w:hAnsi="Arial" w:cs="Arial"/>
          <w:sz w:val="22"/>
          <w:szCs w:val="22"/>
        </w:rPr>
      </w:pPr>
      <w:r w:rsidRPr="003E669E">
        <w:rPr>
          <w:rFonts w:ascii="Arial" w:hAnsi="Arial" w:cs="Arial"/>
          <w:sz w:val="22"/>
          <w:szCs w:val="22"/>
        </w:rPr>
        <w:t>Prefeito Municipal</w:t>
      </w:r>
    </w:p>
    <w:p w14:paraId="33BDA8B4" w14:textId="0DFDC7E7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EA9978" w14:textId="77777777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12D7F5" w14:textId="67238373" w:rsidR="00C74B1C" w:rsidRDefault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76C006" w14:textId="5EB17993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91DC9C" w14:textId="4BC92F34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24B244" w14:textId="1AD77C0C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BEABAE" w14:textId="48CD19D6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650898" w14:textId="6207B7F6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29453D" w14:textId="13520C14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629B7" w14:textId="7A9B3222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DF4EB2" w14:textId="47DABE62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C68687" w14:textId="3423A31D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35609B" w14:textId="58C808AD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1C40B" w14:textId="17CAA2C1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D287E6" w14:textId="4EB46ED3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0C808C" w14:textId="29AC6A48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760387" w14:textId="087234CD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605F63" w14:textId="2C38144F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6FEF24" w14:textId="27362D1E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6DA73F" w14:textId="5DB60370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AEBA94" w14:textId="0C387FE8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8FAD56" w14:textId="18F9B614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CADE3B" w14:textId="07BC436C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732C5F" w14:textId="77777777" w:rsidR="003E669E" w:rsidRDefault="003E669E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EC5650" w14:textId="68CC880A" w:rsidR="00000000" w:rsidRPr="00C74B1C" w:rsidRDefault="00C74B1C" w:rsidP="00C74B1C">
      <w:pPr>
        <w:pStyle w:val="Textodecomentrio1"/>
        <w:spacing w:line="360" w:lineRule="auto"/>
        <w:jc w:val="center"/>
        <w:rPr>
          <w:rFonts w:ascii="Arial" w:hAnsi="Arial" w:cs="Arial"/>
        </w:rPr>
      </w:pPr>
      <w:r w:rsidRPr="00C74B1C">
        <w:rPr>
          <w:rFonts w:ascii="Arial" w:hAnsi="Arial" w:cs="Arial"/>
        </w:rPr>
        <w:t xml:space="preserve">Mensagem Justificativa ao Projeto de Lei Municipal nº </w:t>
      </w:r>
      <w:r w:rsidRPr="003E669E">
        <w:rPr>
          <w:rFonts w:ascii="Arial" w:hAnsi="Arial" w:cs="Arial"/>
        </w:rPr>
        <w:t>0</w:t>
      </w:r>
      <w:r w:rsidR="003E669E" w:rsidRPr="003E669E">
        <w:rPr>
          <w:rFonts w:ascii="Arial" w:hAnsi="Arial" w:cs="Arial"/>
        </w:rPr>
        <w:t>41</w:t>
      </w:r>
      <w:r w:rsidRPr="003E669E">
        <w:rPr>
          <w:rFonts w:ascii="Arial" w:hAnsi="Arial" w:cs="Arial"/>
        </w:rPr>
        <w:t xml:space="preserve"> de </w:t>
      </w:r>
      <w:r w:rsidR="003E669E" w:rsidRPr="003E669E">
        <w:rPr>
          <w:rFonts w:ascii="Arial" w:hAnsi="Arial" w:cs="Arial"/>
        </w:rPr>
        <w:t>10</w:t>
      </w:r>
      <w:r w:rsidRPr="003E669E">
        <w:rPr>
          <w:rFonts w:ascii="Arial" w:hAnsi="Arial" w:cs="Arial"/>
        </w:rPr>
        <w:t xml:space="preserve"> de junho de 2025.</w:t>
      </w:r>
    </w:p>
    <w:p w14:paraId="77BBB5AD" w14:textId="77777777" w:rsidR="00C74B1C" w:rsidRDefault="00C74B1C" w:rsidP="00C74B1C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8B7EE77" w14:textId="77777777" w:rsidR="00000000" w:rsidRDefault="00244897">
      <w:pPr>
        <w:pStyle w:val="Textodecomentri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Município de Dilermando de Aguiar teve proposta aprovada de empreendimento habitacional enquadrada no âmbito da linha de atendimento de provisão subsidiada de unidad</w:t>
      </w:r>
      <w:r>
        <w:rPr>
          <w:rFonts w:ascii="Arial" w:hAnsi="Arial" w:cs="Arial"/>
          <w:sz w:val="22"/>
          <w:szCs w:val="22"/>
        </w:rPr>
        <w:t xml:space="preserve">es habitacionais novas, com recursos do Fundo de Arrendamento Residencial – FAR, integrante do Programa Minha Casa, Minha Vida, </w:t>
      </w:r>
      <w:r>
        <w:rPr>
          <w:rFonts w:ascii="Arial" w:hAnsi="Arial" w:cs="Arial"/>
          <w:sz w:val="22"/>
          <w:szCs w:val="22"/>
        </w:rPr>
        <w:t>conforme divulga a Portaria MCID no 1.482, de 21 de novembro de 2023, do Ministério das Cidades.</w:t>
      </w:r>
    </w:p>
    <w:p w14:paraId="534415EF" w14:textId="77777777" w:rsidR="00000000" w:rsidRDefault="00244897">
      <w:pPr>
        <w:pStyle w:val="Textodecomentrio1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Com o projeto de lei ora subm</w:t>
      </w:r>
      <w:r>
        <w:rPr>
          <w:rFonts w:ascii="Arial" w:hAnsi="Arial" w:cs="Arial"/>
          <w:sz w:val="22"/>
          <w:szCs w:val="22"/>
        </w:rPr>
        <w:t xml:space="preserve">etido à deliberação desse colegiado de Vereadores, intenta-se a autorização legislativa para doar imóvel ao Fundo de Arrendamento Residencial – FAR, regido pela Lei Federal no 10.188, de 12 de fevereiro de 2001, representado pela Caixa Econômica Federal – </w:t>
      </w:r>
      <w:r>
        <w:rPr>
          <w:rFonts w:ascii="Arial" w:hAnsi="Arial" w:cs="Arial"/>
          <w:sz w:val="22"/>
          <w:szCs w:val="22"/>
        </w:rPr>
        <w:t>CEF, responsável pela gestão do FAR e operacionalização do Programa Minha Casa, Minha Vida – PMCMV, nos termos da Lei Federal no 14.620, de 13 de julho de 2023, objetivando promover a construção de moradias destinadas à alienação para famílias que se enqua</w:t>
      </w:r>
      <w:r>
        <w:rPr>
          <w:rFonts w:ascii="Arial" w:hAnsi="Arial" w:cs="Arial"/>
          <w:sz w:val="22"/>
          <w:szCs w:val="22"/>
        </w:rPr>
        <w:t>drem no Programa Minha Casa, Minha Vida – PMCMV.</w:t>
      </w:r>
    </w:p>
    <w:p w14:paraId="6AC4385E" w14:textId="77777777" w:rsidR="00C74B1C" w:rsidRPr="00C74B1C" w:rsidRDefault="00244897" w:rsidP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C74B1C" w:rsidRPr="00C74B1C">
        <w:rPr>
          <w:rFonts w:ascii="Arial" w:hAnsi="Arial" w:cs="Arial"/>
          <w:sz w:val="22"/>
          <w:szCs w:val="22"/>
        </w:rPr>
        <w:t>Trata-se de uma ação concreta voltada à promoção da moradia digna para famílias de baixa renda, contribuindo diretamente para a redução do déficit habitacional em nosso município. A doação do terreno é uma condição essencial para a viabilização do empreendimento, que contará com recursos do Governo Federal para sua construção.</w:t>
      </w:r>
    </w:p>
    <w:p w14:paraId="04B36F7B" w14:textId="77777777" w:rsidR="00C74B1C" w:rsidRP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>O terreno indicado para doação encontra-se devidamente registrado em nome do Município, é compatível com o uso habitacional e possui infraestrutura básica em seu entorno, o que facilita a implantação do projeto e garante maior qualidade de vida aos futuros moradores.</w:t>
      </w:r>
    </w:p>
    <w:p w14:paraId="72C8626D" w14:textId="77777777" w:rsidR="00C74B1C" w:rsidRPr="00C74B1C" w:rsidRDefault="00C74B1C" w:rsidP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>A proposta contempla cláusula de reversão do imóvel ao patrimônio público caso o encargo não seja cumprido, resguardando o interesse do Município. A iniciativa está alinhada com os princípios constitucionais da função social da propriedade e da dignidade da pessoa humana, além de atender às diretrizes das políticas públicas de habitação e inclusão social.</w:t>
      </w:r>
    </w:p>
    <w:p w14:paraId="2639BFBB" w14:textId="69C82060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Assim, através do Programa Minha Casa, Minha Vida se fomenta</w:t>
      </w:r>
      <w:r>
        <w:rPr>
          <w:rFonts w:ascii="Arial" w:hAnsi="Arial" w:cs="Arial"/>
          <w:sz w:val="22"/>
          <w:szCs w:val="22"/>
        </w:rPr>
        <w:t xml:space="preserve"> a participação dos entes públicos como titulares do planejamento local conferindo a esses atores protagonismo na proposição, acompanhamento e entrega dos empreendimentos contratados.</w:t>
      </w:r>
      <w:r w:rsidR="00C74B1C">
        <w:rPr>
          <w:rFonts w:ascii="Arial" w:hAnsi="Arial" w:cs="Arial"/>
          <w:sz w:val="22"/>
          <w:szCs w:val="22"/>
        </w:rPr>
        <w:t xml:space="preserve"> </w:t>
      </w:r>
      <w:r w:rsidR="00C74B1C" w:rsidRPr="00C74B1C">
        <w:rPr>
          <w:rFonts w:ascii="Arial" w:hAnsi="Arial" w:cs="Arial"/>
          <w:sz w:val="22"/>
          <w:szCs w:val="22"/>
        </w:rPr>
        <w:t>Diante do exposto, solicitamos o apoio e aprovação dos nobres vereadores a esta proposição, que representa um avanço significativo na promoção do direito à moradia e no fortalecimento da política habitacional em nosso Município.</w:t>
      </w:r>
    </w:p>
    <w:p w14:paraId="107D1D9D" w14:textId="77777777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E5B7C0" w14:textId="596047B6" w:rsidR="00000000" w:rsidRDefault="00244897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BECE7" w14:textId="27AC4751" w:rsidR="00C74B1C" w:rsidRDefault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38A966" w14:textId="77777777" w:rsidR="00C74B1C" w:rsidRDefault="00C74B1C">
      <w:pPr>
        <w:pStyle w:val="Textodecomentri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A2CA9C" w14:textId="77777777" w:rsidR="00C74B1C" w:rsidRPr="00C74B1C" w:rsidRDefault="00C74B1C" w:rsidP="00C74B1C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 xml:space="preserve">Jorge Alberto Pereira Saidelles </w:t>
      </w:r>
    </w:p>
    <w:p w14:paraId="49C6FE91" w14:textId="0543B1CB" w:rsidR="00000000" w:rsidRDefault="00C74B1C" w:rsidP="00C74B1C">
      <w:pPr>
        <w:pStyle w:val="Textodecomentrio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74B1C">
        <w:rPr>
          <w:rFonts w:ascii="Arial" w:hAnsi="Arial" w:cs="Arial"/>
          <w:sz w:val="22"/>
          <w:szCs w:val="22"/>
        </w:rPr>
        <w:t>Prefeito Municipal</w:t>
      </w:r>
    </w:p>
    <w:p w14:paraId="7220D4E4" w14:textId="77777777" w:rsidR="00D73A78" w:rsidRDefault="00D73A78">
      <w:pPr>
        <w:pStyle w:val="Textodecomentrio1"/>
        <w:spacing w:line="360" w:lineRule="auto"/>
        <w:jc w:val="both"/>
      </w:pPr>
    </w:p>
    <w:sectPr w:rsidR="00D73A7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270E8" w14:textId="77777777" w:rsidR="00244897" w:rsidRDefault="00244897">
      <w:r>
        <w:separator/>
      </w:r>
    </w:p>
  </w:endnote>
  <w:endnote w:type="continuationSeparator" w:id="0">
    <w:p w14:paraId="30958056" w14:textId="77777777" w:rsidR="00244897" w:rsidRDefault="0024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</w:font>
  <w:font w:name="Tahoma">
    <w:panose1 w:val="020B060403050404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8A5AC" w14:textId="77777777" w:rsidR="00000000" w:rsidRDefault="00244897">
    <w:pPr>
      <w:pStyle w:val="Textodecomentrio1"/>
      <w:jc w:val="center"/>
      <w:rPr>
        <w:rFonts w:ascii="Arial" w:hAnsi="Arial" w:cs="Arial"/>
        <w:bCs/>
        <w:iCs/>
        <w:sz w:val="16"/>
        <w:szCs w:val="16"/>
      </w:rPr>
    </w:pPr>
  </w:p>
  <w:p w14:paraId="79F8852F" w14:textId="77777777" w:rsidR="00000000" w:rsidRDefault="00244897">
    <w:pPr>
      <w:pStyle w:val="Rodap"/>
      <w:rPr>
        <w:rFonts w:ascii="Arial" w:hAnsi="Arial" w:cs="Arial"/>
        <w:bCs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30EAF" w14:textId="77777777" w:rsidR="00000000" w:rsidRDefault="002448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5A686" w14:textId="77777777" w:rsidR="00244897" w:rsidRDefault="00244897">
      <w:r>
        <w:separator/>
      </w:r>
    </w:p>
  </w:footnote>
  <w:footnote w:type="continuationSeparator" w:id="0">
    <w:p w14:paraId="502AF5A1" w14:textId="77777777" w:rsidR="00244897" w:rsidRDefault="0024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CF1E4" w14:textId="77777777" w:rsidR="00000000" w:rsidRDefault="00244897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14:paraId="53D867A2" w14:textId="77777777" w:rsidR="00000000" w:rsidRDefault="00244897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14:paraId="300C8759" w14:textId="77777777" w:rsidR="00000000" w:rsidRDefault="00244897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14:paraId="6BB11E79" w14:textId="23B6612E" w:rsidR="00000000" w:rsidRDefault="002C11DB">
    <w:pPr>
      <w:pStyle w:val="Cabealho"/>
      <w:jc w:val="center"/>
      <w:rPr>
        <w:rFonts w:ascii="Arial" w:hAnsi="Arial" w:cs="Arial"/>
        <w:b/>
        <w:bCs/>
        <w:i/>
        <w:sz w:val="16"/>
        <w:szCs w:val="16"/>
      </w:rPr>
    </w:pPr>
    <w:r>
      <w:rPr>
        <w:noProof/>
      </w:rPr>
      <w:drawing>
        <wp:inline distT="0" distB="0" distL="0" distR="0" wp14:anchorId="7307B28F" wp14:editId="54F3B011">
          <wp:extent cx="5838825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113" r="-20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4EAEA31" w14:textId="77777777" w:rsidR="00000000" w:rsidRDefault="00244897">
    <w:pPr>
      <w:pStyle w:val="Cabealho"/>
      <w:jc w:val="center"/>
      <w:rPr>
        <w:rFonts w:ascii="Arial" w:hAnsi="Arial" w:cs="Arial"/>
        <w:b/>
        <w:bCs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EBC1" w14:textId="77777777" w:rsidR="00000000" w:rsidRDefault="002448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78"/>
    <w:rsid w:val="001F1180"/>
    <w:rsid w:val="00244897"/>
    <w:rsid w:val="002923C8"/>
    <w:rsid w:val="002C11DB"/>
    <w:rsid w:val="003E669E"/>
    <w:rsid w:val="00C74B1C"/>
    <w:rsid w:val="00D7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2104B4"/>
  <w15:chartTrackingRefBased/>
  <w15:docId w15:val="{DFD376A9-1809-4D46-AC58-8185DBD5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Recuonormal1"/>
    <w:qFormat/>
    <w:pPr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Recuonormal1"/>
    <w:qFormat/>
    <w:pPr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color w:val="0000FF"/>
      <w:sz w:val="28"/>
      <w:szCs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color w:val="FF0000"/>
      <w:sz w:val="36"/>
      <w:szCs w:val="3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color w:val="000000"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tulo7Char">
    <w:name w:val="Título 7 Char"/>
    <w:rPr>
      <w:b/>
      <w:bCs/>
      <w:color w:val="FF0000"/>
      <w:sz w:val="36"/>
      <w:szCs w:val="36"/>
    </w:rPr>
  </w:style>
  <w:style w:type="character" w:customStyle="1" w:styleId="TextodecomentrioChar">
    <w:name w:val="Texto de comentário Char"/>
    <w:rPr>
      <w:sz w:val="24"/>
      <w:szCs w:val="24"/>
    </w:rPr>
  </w:style>
  <w:style w:type="character" w:customStyle="1" w:styleId="CorpodetextoChar">
    <w:name w:val="Corpo de texto Char"/>
    <w:rPr>
      <w:color w:val="0000FF"/>
      <w:sz w:val="28"/>
      <w:szCs w:val="28"/>
    </w:rPr>
  </w:style>
  <w:style w:type="character" w:customStyle="1" w:styleId="Corpodetexto2Char">
    <w:name w:val="Corpo de texto 2 Char"/>
    <w:rPr>
      <w:color w:val="000000"/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color w:val="0000FF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Ttulouser">
    <w:name w:val="Título (user)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Recuonormal1">
    <w:name w:val="Recuo normal1"/>
    <w:basedOn w:val="Normal"/>
    <w:pPr>
      <w:ind w:left="720"/>
    </w:pPr>
  </w:style>
  <w:style w:type="paragraph" w:customStyle="1" w:styleId="Bodytext1">
    <w:name w:val="Body text1"/>
    <w:basedOn w:val="Normal"/>
    <w:pPr>
      <w:spacing w:after="160"/>
    </w:pPr>
  </w:style>
  <w:style w:type="paragraph" w:customStyle="1" w:styleId="Textodecomentrio1">
    <w:name w:val="Texto de comentário1"/>
    <w:basedOn w:val="Normal"/>
  </w:style>
  <w:style w:type="paragraph" w:customStyle="1" w:styleId="NextPara">
    <w:name w:val="Next Para"/>
    <w:basedOn w:val="Normal"/>
    <w:pPr>
      <w:spacing w:after="120"/>
      <w:ind w:right="4320"/>
    </w:pPr>
  </w:style>
  <w:style w:type="paragraph" w:customStyle="1" w:styleId="NextBase">
    <w:name w:val="Next Base"/>
    <w:basedOn w:val="Normal"/>
    <w:rPr>
      <w:b/>
      <w:bCs/>
    </w:rPr>
  </w:style>
  <w:style w:type="paragraph" w:customStyle="1" w:styleId="Saudao1">
    <w:name w:val="Saudação1"/>
    <w:basedOn w:val="Bodytext1"/>
    <w:pPr>
      <w:spacing w:before="240" w:after="240"/>
    </w:pPr>
  </w:style>
  <w:style w:type="paragraph" w:customStyle="1" w:styleId="Address">
    <w:name w:val="Address"/>
    <w:basedOn w:val="Normal"/>
  </w:style>
  <w:style w:type="paragraph" w:customStyle="1" w:styleId="Data1">
    <w:name w:val="Data1"/>
    <w:basedOn w:val="Normal"/>
  </w:style>
  <w:style w:type="paragraph" w:customStyle="1" w:styleId="Encerramento1">
    <w:name w:val="Encerramento1"/>
    <w:basedOn w:val="Normal"/>
    <w:pPr>
      <w:ind w:left="432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user">
    <w:name w:val="Cabeçalho e rodapé (user)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color w:val="000000"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extoprformatado">
    <w:name w:val="Texto préformatado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Contedodoquadrouser">
    <w:name w:val="Conteúdo do quadro (user)"/>
    <w:basedOn w:val="Normal"/>
  </w:style>
  <w:style w:type="paragraph" w:styleId="NormalWeb">
    <w:name w:val="Normal (Web)"/>
    <w:basedOn w:val="Normal"/>
    <w:uiPriority w:val="99"/>
    <w:semiHidden/>
    <w:unhideWhenUsed/>
    <w:rsid w:val="00C7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Doa&#231;&#227;o%20de%20terren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Doação de terreno</Template>
  <TotalTime>288</TotalTime>
  <Pages>6</Pages>
  <Words>1944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Informação</vt:lpstr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Informação</dc:title>
  <dc:subject/>
  <dc:creator>JURIDICO02</dc:creator>
  <cp:keywords/>
  <cp:lastModifiedBy>JURIDICO02</cp:lastModifiedBy>
  <cp:revision>3</cp:revision>
  <cp:lastPrinted>2025-04-15T19:19:00Z</cp:lastPrinted>
  <dcterms:created xsi:type="dcterms:W3CDTF">2025-06-10T12:47:00Z</dcterms:created>
  <dcterms:modified xsi:type="dcterms:W3CDTF">2025-06-10T17:58:00Z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