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6997E" w14:textId="77777777" w:rsidR="004875D0" w:rsidRDefault="004875D0">
      <w:pPr>
        <w:jc w:val="center"/>
        <w:rPr>
          <w:rFonts w:ascii="Arial" w:hAnsi="Arial" w:cs="Arial"/>
          <w:sz w:val="22"/>
          <w:szCs w:val="22"/>
        </w:rPr>
      </w:pPr>
    </w:p>
    <w:p w14:paraId="4E7B412D" w14:textId="726910C3" w:rsidR="004875D0" w:rsidRPr="005E437E" w:rsidRDefault="005A1F18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E437E">
        <w:rPr>
          <w:rFonts w:ascii="Arial" w:hAnsi="Arial" w:cs="Arial"/>
          <w:b/>
          <w:bCs/>
          <w:sz w:val="22"/>
          <w:szCs w:val="22"/>
        </w:rPr>
        <w:t>PROJETO DE LEI Nº 0</w:t>
      </w:r>
      <w:r w:rsidR="005E437E" w:rsidRPr="005E437E">
        <w:rPr>
          <w:rFonts w:ascii="Arial" w:hAnsi="Arial" w:cs="Arial"/>
          <w:b/>
          <w:bCs/>
          <w:sz w:val="22"/>
          <w:szCs w:val="22"/>
        </w:rPr>
        <w:t>43</w:t>
      </w:r>
      <w:r w:rsidRPr="005E437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5E437E" w:rsidRPr="005E437E">
        <w:rPr>
          <w:rFonts w:ascii="Arial" w:hAnsi="Arial" w:cs="Arial"/>
          <w:b/>
          <w:bCs/>
          <w:sz w:val="22"/>
          <w:szCs w:val="22"/>
        </w:rPr>
        <w:t>24</w:t>
      </w:r>
      <w:r w:rsidRPr="005E437E">
        <w:rPr>
          <w:rFonts w:ascii="Arial" w:hAnsi="Arial" w:cs="Arial"/>
          <w:b/>
          <w:bCs/>
          <w:sz w:val="22"/>
          <w:szCs w:val="22"/>
        </w:rPr>
        <w:t xml:space="preserve"> DE JUNHO DE 2025</w:t>
      </w:r>
    </w:p>
    <w:p w14:paraId="174E1E98" w14:textId="2AF871B4" w:rsidR="0038455B" w:rsidRDefault="0038455B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2EE0FB" w14:textId="77777777" w:rsidR="0038455B" w:rsidRDefault="0038455B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9804359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A48BAA" w14:textId="77777777" w:rsidR="004875D0" w:rsidRDefault="005A1F18" w:rsidP="0038455B">
      <w:pPr>
        <w:pStyle w:val="Textodecomentrio1"/>
        <w:spacing w:line="360" w:lineRule="auto"/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tabela V e acrescenta a tabela IX na Lei Municipal nº. 437/2010 - Código Tributário Municipal </w:t>
      </w:r>
    </w:p>
    <w:p w14:paraId="5B8EECE5" w14:textId="5979C7D0" w:rsidR="004875D0" w:rsidRDefault="004875D0" w:rsidP="0038455B">
      <w:pPr>
        <w:pStyle w:val="Textodecomentrio1"/>
        <w:spacing w:line="360" w:lineRule="auto"/>
        <w:ind w:left="5103"/>
        <w:jc w:val="both"/>
        <w:rPr>
          <w:rFonts w:ascii="Arial" w:hAnsi="Arial" w:cs="Arial"/>
          <w:sz w:val="22"/>
          <w:szCs w:val="22"/>
        </w:rPr>
      </w:pPr>
    </w:p>
    <w:p w14:paraId="2FF34D1B" w14:textId="77777777" w:rsidR="0038455B" w:rsidRDefault="0038455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22FC03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Prefeito Senhor 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  <w:r>
        <w:rPr>
          <w:rFonts w:ascii="Arial" w:hAnsi="Arial" w:cs="Arial"/>
          <w:sz w:val="22"/>
          <w:szCs w:val="22"/>
        </w:rPr>
        <w:t>, no uso de suas atribuições legais conferidas pelo inciso III do art. 58 da Lei Orgânica, apresenta o seguinte projeto de lei:</w:t>
      </w:r>
    </w:p>
    <w:p w14:paraId="7A2ACB5D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C8AB8A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69B79B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1º A tabela V da Lei Municipal nº. 437/2007 passa a vigorar com a seguinte redação:</w:t>
      </w:r>
    </w:p>
    <w:p w14:paraId="51B5936B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0"/>
        <w:gridCol w:w="1026"/>
      </w:tblGrid>
      <w:tr w:rsidR="004875D0" w14:paraId="46DE92E6" w14:textId="77777777">
        <w:trPr>
          <w:trHeight w:val="567"/>
          <w:jc w:val="right"/>
        </w:trPr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54F1B" w14:textId="77777777" w:rsidR="004875D0" w:rsidRDefault="005A1F18">
            <w:pPr>
              <w:pStyle w:val="Contedodatabela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Discriminação dos serviços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937B" w14:textId="77777777" w:rsidR="004875D0" w:rsidRDefault="005A1F18">
            <w:pPr>
              <w:pStyle w:val="Contedodatabela"/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UFM</w:t>
            </w:r>
          </w:p>
        </w:tc>
      </w:tr>
      <w:tr w:rsidR="004875D0" w14:paraId="682A48D9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6AC1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1. Da apreensão de bens e semoventes:</w:t>
            </w:r>
          </w:p>
        </w:tc>
      </w:tr>
      <w:tr w:rsidR="004875D0" w14:paraId="4CE705CC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ABC3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1.1. Apreensão por espécie ou unidade;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2623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875D0" w14:paraId="19FAE4C6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5154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1.2. Depósito, por dia ou fração</w:t>
            </w:r>
          </w:p>
        </w:tc>
      </w:tr>
      <w:tr w:rsidR="004875D0" w14:paraId="5186AA73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50ED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1.2.1. De veículo, por unidade;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7B81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875D0" w14:paraId="2679E56D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5EC86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1.2.2. De animais, por cabeça;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95FD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875D0" w14:paraId="7933852C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4A42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1.2.3. De mercadorias ou objetos, por espécie.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A0A4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75D0" w14:paraId="464A14EA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E1C5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2. De numeração de prédios:</w:t>
            </w:r>
          </w:p>
        </w:tc>
      </w:tr>
      <w:tr w:rsidR="004875D0" w14:paraId="1BB9B55B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12063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2.1. Por emplacamento.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4576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875D0" w14:paraId="4B927EA4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36B4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3. Serviços em Cemitério:</w:t>
            </w:r>
          </w:p>
        </w:tc>
      </w:tr>
      <w:tr w:rsidR="004875D0" w14:paraId="1E7C9E0D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13EF5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3.1. Terrenos de 3,30 x 1,90 m;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0DA1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4875D0" w14:paraId="704962A7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13EB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3.2. Arrendamento de carneiras por ano;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E4E0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4875D0" w14:paraId="07567F75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A957B" w14:textId="48BD3324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3.3. Inumação em carneira ou sepultura;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706B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875D0" w14:paraId="41E1C50B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46307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3.4. Exumação de restos mortais;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CDDF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4875D0" w14:paraId="6B345452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1975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3.5. Outros serviços como o uso da capela mortuária por dia.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448A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4875D0" w14:paraId="2D49E6EB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C719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OBS: Serão isentos dos serviços previstos no item 3 acima as famílias cadastradas na Secretaria de Assistência Social, Desenvolvimento e Cidadania como beneficiadas do programa bolsa família, BPC ou que possuam renda de até um salário mínimo nacional</w:t>
            </w:r>
          </w:p>
        </w:tc>
      </w:tr>
      <w:tr w:rsidR="004875D0" w14:paraId="563248CC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A13D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 De Publicidade:</w:t>
            </w:r>
          </w:p>
        </w:tc>
      </w:tr>
      <w:tr w:rsidR="004875D0" w14:paraId="3487BABF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9752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4.1. Painéis, cartazes, letreiros ou luminosos acima de 4,1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FD20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875D0" w14:paraId="3DEEF78B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109F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4.2. Painéis, cartazes, letreiros ou luminosos de 2,1 a 4,1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786E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875D0" w14:paraId="7E57C2F6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B5256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4.3. Painéis, cartazes, letreiros ou luminosos até 2,0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619E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875D0" w14:paraId="416C4537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4C09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4.4. Publicidade em táxis e ônibus;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A1B4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875D0" w14:paraId="3BC7D719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2C1D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4.5. Mostruários colocados fora dos estabelecimentos, ainda que em galerias, estações, abrigos ou qualquer outro local permitido;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4C45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875D0" w14:paraId="1CEC17C9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A05D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4.6. Publicidade feito por propagandista, música, animais (circo) por alto-falante ou qualquer outro aparelho sonoro ou em projeção fotográfica ou semelhantes (por dia ou fração)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F829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875D0" w14:paraId="0218FCF5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3A29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OBS: Placas indicativas de nome e profissão ficam dispensadas da taxa</w:t>
            </w:r>
          </w:p>
        </w:tc>
      </w:tr>
      <w:tr w:rsidR="004875D0" w14:paraId="6C844959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F01D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 Outros Serviços:</w:t>
            </w:r>
          </w:p>
        </w:tc>
      </w:tr>
      <w:tr w:rsidR="004875D0" w14:paraId="67A1600E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D0BF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5.1.1. De recomposição de pavimentação por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asfáltica ou lajota de concreto;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FB24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4875D0" w14:paraId="34BF03AE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D9F8" w14:textId="1D5FD102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5.1.2. De recomposição de pavimentação por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por pedra regular;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D39D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875D0" w14:paraId="60FDD79E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F54B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5.1.3. De recomposição de pavimentação por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por pedra irregular;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F1DF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4875D0" w14:paraId="33B6C479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5BFEA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5.1.4. De recomposição de pavimentação por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de artéria sem pavimentação.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1C9E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875D0" w14:paraId="229D726E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1F17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5.2.1. Serviço de equipamento rodoviário por hora, de trator de esteira;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739F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875D0" w14:paraId="79A1BCB9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AD5F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5.2.2. Serviço de equipamento rodoviário por hora, de motoniveladora;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CCF5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875D0" w14:paraId="569E868C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10B9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5.2.3. Serviço de equipamento rodoviário por hora, de carregador;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6B70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4875D0" w14:paraId="4FB538D2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C810D" w14:textId="1D2FA935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5.2.4. Serviço de equipamento rodoviário de transporte de caminhão </w:t>
            </w:r>
            <w:r w:rsidR="0038455B">
              <w:rPr>
                <w:rFonts w:ascii="Arial" w:hAnsi="Arial" w:cs="Arial"/>
                <w:sz w:val="22"/>
                <w:szCs w:val="22"/>
              </w:rPr>
              <w:t>até</w:t>
            </w:r>
            <w:r>
              <w:rPr>
                <w:rFonts w:ascii="Arial" w:hAnsi="Arial" w:cs="Arial"/>
                <w:sz w:val="22"/>
                <w:szCs w:val="22"/>
              </w:rPr>
              <w:t xml:space="preserve"> 10 km;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A18C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875D0" w14:paraId="01D47525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BCA2" w14:textId="3405D309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5.2.5. Serviço de equipamento rodoviário de transporte de caminhão de 10 </w:t>
            </w:r>
            <w:r w:rsidR="0038455B">
              <w:rPr>
                <w:rFonts w:ascii="Arial" w:hAnsi="Arial" w:cs="Arial"/>
                <w:sz w:val="22"/>
                <w:szCs w:val="22"/>
              </w:rPr>
              <w:t>até</w:t>
            </w:r>
            <w:r>
              <w:rPr>
                <w:rFonts w:ascii="Arial" w:hAnsi="Arial" w:cs="Arial"/>
                <w:sz w:val="22"/>
                <w:szCs w:val="22"/>
              </w:rPr>
              <w:t xml:space="preserve"> 20 km;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912E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4875D0" w14:paraId="3AB8AE50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EC157" w14:textId="1D5EB342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5.2.6. Serviço de equipamento rodoviário de transporte de caminhão de 20 </w:t>
            </w:r>
            <w:r w:rsidR="0038455B">
              <w:rPr>
                <w:rFonts w:ascii="Arial" w:hAnsi="Arial" w:cs="Arial"/>
                <w:sz w:val="22"/>
                <w:szCs w:val="22"/>
              </w:rPr>
              <w:t>até</w:t>
            </w:r>
            <w:r>
              <w:rPr>
                <w:rFonts w:ascii="Arial" w:hAnsi="Arial" w:cs="Arial"/>
                <w:sz w:val="22"/>
                <w:szCs w:val="22"/>
              </w:rPr>
              <w:t xml:space="preserve"> 30 km;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0997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4875D0" w14:paraId="2C195B09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3FF57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5.2.7. Serviço de equipamento rodoviário de transporte de caminhão acima de 30 km.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82FF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4875D0" w14:paraId="684A3CCB" w14:textId="77777777">
        <w:trPr>
          <w:trHeight w:val="567"/>
          <w:jc w:val="right"/>
        </w:trPr>
        <w:tc>
          <w:tcPr>
            <w:tcW w:w="9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63F69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5.2.8. Serviço de equipamento rodoviário de carregamento de pedra, saibro, cascalho por carga.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8280" w14:textId="77777777" w:rsidR="004875D0" w:rsidRDefault="005A1F18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875D0" w14:paraId="2EFCA97C" w14:textId="77777777">
        <w:trPr>
          <w:trHeight w:val="567"/>
          <w:jc w:val="right"/>
        </w:trPr>
        <w:tc>
          <w:tcPr>
            <w:tcW w:w="10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1EDA" w14:textId="77777777" w:rsidR="004875D0" w:rsidRDefault="005A1F18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OBSERVAÇÕES:</w:t>
            </w:r>
          </w:p>
          <w:p w14:paraId="5CAB4246" w14:textId="77777777" w:rsidR="004875D0" w:rsidRDefault="005A1F18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Os serviços descritos no item 2.5 terão desconto no valor da hora máquina para os produtores cadastrados na Secretaria de Agricultura e Pecuária como Agricultura Familiar ou Programas de Incentivo, conforme regulamento, na seguinte proporção:</w:t>
            </w:r>
          </w:p>
          <w:p w14:paraId="311A504C" w14:textId="77777777" w:rsidR="004875D0" w:rsidRDefault="005A1F18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| - 50% (cinquenta por cento) para aqueles que possuírem até 02 módulos territoriais;</w:t>
            </w:r>
          </w:p>
          <w:p w14:paraId="59874E6C" w14:textId="5812A234" w:rsidR="004875D0" w:rsidRDefault="005A1F18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| - 25% (vinte e cinco por cento) para aqueles que possuírem até 04 módulos territoriais.                                               </w:t>
            </w:r>
          </w:p>
          <w:p w14:paraId="36D864C5" w14:textId="77777777" w:rsidR="004875D0" w:rsidRDefault="005A1F18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Os participantes dos programas de incentivo terão anualmente 02 (duas) horas máquinas gratuitas, distribuídas no item 2.5</w:t>
            </w:r>
          </w:p>
          <w:p w14:paraId="269EA3BF" w14:textId="77777777" w:rsidR="004875D0" w:rsidRDefault="005A1F18">
            <w:pPr>
              <w:pStyle w:val="Contedodatabela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c) Para os serviços constantes do item 2 o prazo de arrecadação será de 60 (sessenta) dias da execução do serviço. </w:t>
            </w:r>
          </w:p>
        </w:tc>
      </w:tr>
    </w:tbl>
    <w:p w14:paraId="2DFEBE62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DA8241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2º Fica acrescida a tabela IX a Lei Municipal nº. 437/2007 com a seguinte redação:</w:t>
      </w:r>
    </w:p>
    <w:p w14:paraId="79C3CA7B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serviços</w:t>
      </w:r>
      <w:proofErr w:type="gramEnd"/>
      <w:r>
        <w:rPr>
          <w:rFonts w:ascii="Arial" w:hAnsi="Arial" w:cs="Arial"/>
          <w:sz w:val="22"/>
          <w:szCs w:val="22"/>
        </w:rPr>
        <w:t xml:space="preserve"> de trator: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47"/>
        <w:gridCol w:w="2302"/>
      </w:tblGrid>
      <w:tr w:rsidR="004875D0" w14:paraId="6C740F4C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CCD6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2D31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UFM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AFE2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VALOR/R$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26FA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ÁREA</w:t>
            </w:r>
          </w:p>
        </w:tc>
      </w:tr>
      <w:tr w:rsidR="004875D0" w14:paraId="54A72FD8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C594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990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8335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48,32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48EC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BAIXA RENDA</w:t>
            </w:r>
          </w:p>
        </w:tc>
      </w:tr>
      <w:tr w:rsidR="004875D0" w14:paraId="48F4E8B1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4E75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A1F1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2604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72,48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94A9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22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2CCC0393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AB35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1974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1ABB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86,96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5C7D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44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0506375C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E1EA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9ABC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0F824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120,81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2863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88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1EBD1505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6C48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F845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6168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144,97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B3D0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 xml:space="preserve">89 - 110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hec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>.</w:t>
            </w:r>
            <w:bookmarkStart w:id="0" w:name="_Hlk197332587"/>
            <w:bookmarkEnd w:id="0"/>
          </w:p>
        </w:tc>
      </w:tr>
    </w:tbl>
    <w:p w14:paraId="56DC2E37" w14:textId="77777777" w:rsidR="004875D0" w:rsidRDefault="004875D0"/>
    <w:p w14:paraId="57E5E62C" w14:textId="77777777" w:rsidR="004875D0" w:rsidRDefault="005A1F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serviços</w:t>
      </w:r>
      <w:proofErr w:type="gramEnd"/>
      <w:r>
        <w:rPr>
          <w:rFonts w:ascii="Arial" w:hAnsi="Arial" w:cs="Arial"/>
          <w:sz w:val="22"/>
          <w:szCs w:val="22"/>
        </w:rPr>
        <w:t xml:space="preserve"> de retroescavadeira, limite de 6 horas: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47"/>
        <w:gridCol w:w="2414"/>
      </w:tblGrid>
      <w:tr w:rsidR="004875D0" w14:paraId="20D0A904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F8E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9F39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UFM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229A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VALOR/R$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4012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ÁREA</w:t>
            </w:r>
          </w:p>
        </w:tc>
      </w:tr>
      <w:tr w:rsidR="004875D0" w14:paraId="116974DC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B3F3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65A4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1DE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96,65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FA99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BAIXA RENDA</w:t>
            </w:r>
          </w:p>
        </w:tc>
      </w:tr>
      <w:tr w:rsidR="004875D0" w14:paraId="3942C3A6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D505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E407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B7C2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120,81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77CD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22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4FD31149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786B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74CA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5401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144,97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9669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44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179F8690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00D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65AC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384D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169,13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9A04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88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3FA5D9E6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067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1B37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E819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207,79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B5C3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 xml:space="preserve">89 - 110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hec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</w:tbl>
    <w:p w14:paraId="58A52126" w14:textId="77777777" w:rsidR="004875D0" w:rsidRDefault="005A1F18">
      <w:pPr>
        <w:rPr>
          <w:rFonts w:ascii="Arial" w:hAnsi="Arial" w:cs="Arial"/>
          <w:sz w:val="22"/>
          <w:szCs w:val="22"/>
        </w:rPr>
      </w:pPr>
      <w:r>
        <w:tab/>
      </w:r>
    </w:p>
    <w:p w14:paraId="51F58B6A" w14:textId="77777777" w:rsidR="004875D0" w:rsidRDefault="005A1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– serviços de escavadeira hidráulica, limite 4 horas:</w:t>
      </w:r>
    </w:p>
    <w:p w14:paraId="53F24ED4" w14:textId="77777777" w:rsidR="004875D0" w:rsidRDefault="004875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47"/>
        <w:gridCol w:w="2414"/>
      </w:tblGrid>
      <w:tr w:rsidR="004875D0" w14:paraId="6F8C3612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F562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6654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UFM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610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VALOR/R$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4D4C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ÁREA</w:t>
            </w:r>
          </w:p>
        </w:tc>
      </w:tr>
      <w:tr w:rsidR="004875D0" w14:paraId="56E43D08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4C18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22CA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72C7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144,97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1C80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BAIXA RENDA</w:t>
            </w:r>
          </w:p>
        </w:tc>
      </w:tr>
      <w:tr w:rsidR="004875D0" w14:paraId="5D889EB1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3047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DB80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90D3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193,20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A187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22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25D7AC3C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E6A8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ACA0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37AF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217,35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324E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44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37A2DA53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41BA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64CB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B2FC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241,50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5578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 xml:space="preserve">&lt; 88 </w:t>
            </w:r>
            <w:proofErr w:type="spellStart"/>
            <w:r>
              <w:rPr>
                <w:rFonts w:ascii="Arial" w:hAnsi="Arial" w:cs="Arial"/>
              </w:rPr>
              <w:t>hec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875D0" w14:paraId="02C18DF5" w14:textId="77777777">
        <w:trPr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40C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DEA7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94E5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hAnsi="Arial" w:cs="Arial"/>
              </w:rPr>
              <w:t>280,14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211" w14:textId="77777777" w:rsidR="004875D0" w:rsidRDefault="005A1F18">
            <w:pPr>
              <w:spacing w:line="360" w:lineRule="auto"/>
              <w:ind w:right="142"/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 xml:space="preserve">89 - 110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hec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</w:tbl>
    <w:p w14:paraId="566F9312" w14:textId="77777777" w:rsidR="004875D0" w:rsidRDefault="004875D0">
      <w:pPr>
        <w:rPr>
          <w:rFonts w:ascii="Arial" w:hAnsi="Arial" w:cs="Arial"/>
          <w:sz w:val="22"/>
          <w:szCs w:val="22"/>
        </w:rPr>
      </w:pPr>
    </w:p>
    <w:p w14:paraId="1169F3AF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3º Esta Lei entra em vigor na data de sua publicação.</w:t>
      </w:r>
    </w:p>
    <w:p w14:paraId="28B63866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9E60E4" w14:textId="38C4DAE0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Gabinete do Prefeito, Dilermando de Aguiar, aos </w:t>
      </w:r>
      <w:r w:rsidR="005E437E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(</w:t>
      </w:r>
      <w:r w:rsidR="005E437E">
        <w:rPr>
          <w:rFonts w:ascii="Arial" w:hAnsi="Arial" w:cs="Arial"/>
          <w:sz w:val="22"/>
          <w:szCs w:val="22"/>
        </w:rPr>
        <w:t>vinte e quatro</w:t>
      </w:r>
      <w:r>
        <w:rPr>
          <w:rFonts w:ascii="Arial" w:hAnsi="Arial" w:cs="Arial"/>
          <w:sz w:val="22"/>
          <w:szCs w:val="22"/>
        </w:rPr>
        <w:t>) dias do mês de junho do ano de 2025.</w:t>
      </w:r>
    </w:p>
    <w:p w14:paraId="3C6793B1" w14:textId="43B4F749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7F7B79" w14:textId="05B07D2B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BE948A" w14:textId="77777777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99B395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Danesio</w:t>
      </w:r>
      <w:proofErr w:type="spellEnd"/>
      <w:r>
        <w:rPr>
          <w:rFonts w:ascii="Arial" w:hAnsi="Arial" w:cs="Arial"/>
          <w:sz w:val="22"/>
          <w:szCs w:val="22"/>
        </w:rPr>
        <w:t xml:space="preserve"> Teixeira de Medeiros</w:t>
      </w:r>
    </w:p>
    <w:p w14:paraId="5F8B4381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7CA986BF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A35A41" w14:textId="730D9019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5E0F48" w14:textId="77777777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CA35AC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779DAF5" w14:textId="77777777" w:rsidR="004875D0" w:rsidRDefault="005A1F18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68D1A9D1" w14:textId="77777777" w:rsidR="004875D0" w:rsidRDefault="005A1F18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(Gestão 2025/2028)</w:t>
      </w:r>
    </w:p>
    <w:p w14:paraId="4E6C9556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47CA18" w14:textId="357D3544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715210" w14:textId="77777777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20A6A1" w14:textId="77777777" w:rsidR="004875D0" w:rsidRDefault="004875D0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9E8C2E" w14:textId="7A275997" w:rsidR="004875D0" w:rsidRDefault="005E437E" w:rsidP="005E437E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E437E">
        <w:rPr>
          <w:rFonts w:ascii="Arial" w:hAnsi="Arial" w:cs="Arial"/>
          <w:sz w:val="22"/>
          <w:szCs w:val="22"/>
        </w:rPr>
        <w:t>Mensagem Justificativa ao Projeto de Lei Municipal nº 04</w:t>
      </w:r>
      <w:r>
        <w:rPr>
          <w:rFonts w:ascii="Arial" w:hAnsi="Arial" w:cs="Arial"/>
          <w:sz w:val="22"/>
          <w:szCs w:val="22"/>
        </w:rPr>
        <w:t>3</w:t>
      </w:r>
      <w:r w:rsidRPr="005E437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24</w:t>
      </w:r>
      <w:r w:rsidRPr="005E437E">
        <w:rPr>
          <w:rFonts w:ascii="Arial" w:hAnsi="Arial" w:cs="Arial"/>
          <w:sz w:val="22"/>
          <w:szCs w:val="22"/>
        </w:rPr>
        <w:t xml:space="preserve"> de junho de 2025.</w:t>
      </w:r>
    </w:p>
    <w:p w14:paraId="717CCA75" w14:textId="77777777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748664" w14:textId="77777777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Vimos por meio do presente Projeto de Lei, trazer ao conhecimento a necessidade de atualização das tabelas do Código Tributário Municipal, pois com a criação da nova lei dos benefícios concedidos pela Secretaria de Agricultura e Meio Ambiente houve alterações importantes principalmente com relação a redução de valores e novos enquadramento dos serviços prestados pelo trator da patrulha agrícola, da retroescavadeira e da escavadeira hidráulica</w:t>
      </w:r>
    </w:p>
    <w:p w14:paraId="42B1BA11" w14:textId="220E04AA" w:rsidR="004875D0" w:rsidRDefault="005A1F18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Cabe destacar que houve redução de valores nesses três equipamentos rodoviários e por isso a necessidade de alteração da tabela V do CTM e acréscimo de uma nova tabela, a IX ao CTM com os valores para os serviços que serão prestados pelo trator, retroescavadeira e escavadeira hidráulica.</w:t>
      </w:r>
      <w:r w:rsidR="00F63E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Diante do exposto, propomos a presente matéria solicitando o apoio dos Vereadores para sua aprovação, que será muito importante para a segurança jurídica de nosso Município com os valores atualizados.</w:t>
      </w:r>
    </w:p>
    <w:p w14:paraId="0ED5A582" w14:textId="353B2519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0B04C0" w14:textId="76C21D54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EC08B8" w14:textId="6D172F37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7B4FE9" w14:textId="533B0A00" w:rsidR="005E437E" w:rsidRDefault="005E437E" w:rsidP="005E437E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01AB2A0" w14:textId="77777777" w:rsidR="005E437E" w:rsidRPr="005E437E" w:rsidRDefault="005E437E" w:rsidP="005E437E">
      <w:pPr>
        <w:pStyle w:val="Textodecomentrio1"/>
        <w:jc w:val="center"/>
        <w:rPr>
          <w:rFonts w:ascii="Arial" w:hAnsi="Arial" w:cs="Arial"/>
          <w:sz w:val="22"/>
          <w:szCs w:val="22"/>
        </w:rPr>
      </w:pPr>
      <w:r w:rsidRPr="005E437E"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 w:rsidRPr="005E437E">
        <w:rPr>
          <w:rFonts w:ascii="Arial" w:hAnsi="Arial" w:cs="Arial"/>
          <w:sz w:val="22"/>
          <w:szCs w:val="22"/>
        </w:rPr>
        <w:t>Saidelles</w:t>
      </w:r>
      <w:proofErr w:type="spellEnd"/>
    </w:p>
    <w:p w14:paraId="5B43896D" w14:textId="77777777" w:rsidR="005E437E" w:rsidRPr="005E437E" w:rsidRDefault="005E437E" w:rsidP="005E437E">
      <w:pPr>
        <w:pStyle w:val="Textodecomentrio1"/>
        <w:jc w:val="center"/>
        <w:rPr>
          <w:rFonts w:ascii="Arial" w:hAnsi="Arial" w:cs="Arial"/>
          <w:sz w:val="22"/>
          <w:szCs w:val="22"/>
        </w:rPr>
      </w:pPr>
      <w:r w:rsidRPr="005E437E">
        <w:rPr>
          <w:rFonts w:ascii="Arial" w:hAnsi="Arial" w:cs="Arial"/>
          <w:sz w:val="22"/>
          <w:szCs w:val="22"/>
        </w:rPr>
        <w:t>Prefeito (Gestão 2025/2028)</w:t>
      </w:r>
    </w:p>
    <w:p w14:paraId="1AFB91F2" w14:textId="77777777" w:rsidR="005E437E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00B560" w14:textId="77777777" w:rsidR="005E437E" w:rsidRPr="00F63EF3" w:rsidRDefault="005E437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3C01AE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195272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7C97E9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C9DD7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FEC91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4337A4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BA548F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4AE4D0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38EADC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96D7F5" w14:textId="77777777" w:rsidR="004875D0" w:rsidRDefault="004875D0">
      <w:pPr>
        <w:pStyle w:val="Textodecomentrio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E7AA45" w14:textId="77777777" w:rsidR="0038455B" w:rsidRDefault="0038455B">
      <w:pPr>
        <w:pStyle w:val="Textodecomentrio1"/>
        <w:spacing w:line="360" w:lineRule="auto"/>
        <w:jc w:val="center"/>
      </w:pPr>
    </w:p>
    <w:sectPr w:rsidR="00384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520B9" w14:textId="77777777" w:rsidR="00EC557B" w:rsidRDefault="00EC557B">
      <w:r>
        <w:separator/>
      </w:r>
    </w:p>
  </w:endnote>
  <w:endnote w:type="continuationSeparator" w:id="0">
    <w:p w14:paraId="0887ACCB" w14:textId="77777777" w:rsidR="00EC557B" w:rsidRDefault="00EC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1864A" w14:textId="77777777" w:rsidR="004875D0" w:rsidRDefault="004875D0">
    <w:pPr>
      <w:pStyle w:val="Textodecomentrio1"/>
      <w:jc w:val="center"/>
      <w:rPr>
        <w:rFonts w:ascii="Arial" w:hAnsi="Arial" w:cs="Arial"/>
        <w:bCs/>
        <w:iCs/>
        <w:sz w:val="16"/>
        <w:szCs w:val="16"/>
      </w:rPr>
    </w:pPr>
  </w:p>
  <w:p w14:paraId="34699701" w14:textId="77777777" w:rsidR="004875D0" w:rsidRDefault="004875D0">
    <w:pPr>
      <w:pStyle w:val="Rodap"/>
      <w:rPr>
        <w:rFonts w:ascii="Arial" w:hAnsi="Arial" w:cs="Arial"/>
        <w:bCs/>
        <w:iCs/>
        <w:sz w:val="16"/>
        <w:szCs w:val="16"/>
      </w:rPr>
    </w:pPr>
  </w:p>
  <w:p w14:paraId="51D2DE33" w14:textId="77777777" w:rsidR="004875D0" w:rsidRDefault="004875D0">
    <w:pPr>
      <w:pStyle w:val="Rodap"/>
      <w:rPr>
        <w:rFonts w:ascii="Arial" w:hAnsi="Arial" w:cs="Arial"/>
        <w:bCs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CD6EA" w14:textId="77777777" w:rsidR="004875D0" w:rsidRDefault="004875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8D7B2" w14:textId="77777777" w:rsidR="00EC557B" w:rsidRDefault="00EC557B">
      <w:r>
        <w:separator/>
      </w:r>
    </w:p>
  </w:footnote>
  <w:footnote w:type="continuationSeparator" w:id="0">
    <w:p w14:paraId="33665185" w14:textId="77777777" w:rsidR="00EC557B" w:rsidRDefault="00EC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BFA11" w14:textId="77777777" w:rsidR="004875D0" w:rsidRDefault="004875D0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14:paraId="3EE54175" w14:textId="77777777" w:rsidR="004875D0" w:rsidRDefault="004875D0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14:paraId="7C0CF2E7" w14:textId="77777777" w:rsidR="004875D0" w:rsidRDefault="004875D0">
    <w:pPr>
      <w:pStyle w:val="Cabealho"/>
      <w:jc w:val="center"/>
    </w:pPr>
  </w:p>
  <w:p w14:paraId="17CF7A1D" w14:textId="28ED4872" w:rsidR="004875D0" w:rsidRDefault="0038455B">
    <w:pPr>
      <w:pStyle w:val="Cabealho"/>
      <w:jc w:val="center"/>
      <w:rPr>
        <w:rFonts w:ascii="Arial" w:hAnsi="Arial" w:cs="Arial"/>
        <w:b/>
        <w:bCs/>
        <w:i/>
        <w:sz w:val="16"/>
        <w:szCs w:val="16"/>
      </w:rPr>
    </w:pPr>
    <w:r>
      <w:rPr>
        <w:noProof/>
      </w:rPr>
      <w:drawing>
        <wp:inline distT="0" distB="0" distL="0" distR="0" wp14:anchorId="4A5439AC" wp14:editId="08726DDC">
          <wp:extent cx="5838825" cy="1047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56" r="-11" b="-56"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D8C571F" w14:textId="77777777" w:rsidR="004875D0" w:rsidRDefault="004875D0">
    <w:pPr>
      <w:pStyle w:val="Cabealho"/>
      <w:jc w:val="center"/>
      <w:rPr>
        <w:rFonts w:ascii="Arial" w:hAnsi="Arial" w:cs="Arial"/>
        <w:b/>
        <w:bCs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49855" w14:textId="77777777" w:rsidR="004875D0" w:rsidRDefault="004875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5B"/>
    <w:rsid w:val="0038455B"/>
    <w:rsid w:val="004875D0"/>
    <w:rsid w:val="005A1F18"/>
    <w:rsid w:val="005E437E"/>
    <w:rsid w:val="00CA2AF7"/>
    <w:rsid w:val="00EC557B"/>
    <w:rsid w:val="00F6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1499F9"/>
  <w15:chartTrackingRefBased/>
  <w15:docId w15:val="{3B1F0F14-E6CC-40D7-8339-3321040B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Recuonormal1"/>
    <w:qFormat/>
    <w:pPr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Recuonormal1"/>
    <w:qFormat/>
    <w:pPr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color w:val="0000FF"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color w:val="FF0000"/>
      <w:sz w:val="36"/>
      <w:szCs w:val="3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color w:val="000000"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Fontepargpadro1">
    <w:name w:val="Fonte parág. padrã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tulo7Char">
    <w:name w:val="Título 7 Char"/>
    <w:rPr>
      <w:b/>
      <w:bCs/>
      <w:color w:val="FF0000"/>
      <w:sz w:val="36"/>
      <w:szCs w:val="36"/>
    </w:rPr>
  </w:style>
  <w:style w:type="character" w:customStyle="1" w:styleId="TextodecomentrioChar">
    <w:name w:val="Texto de comentário Char"/>
    <w:rPr>
      <w:sz w:val="24"/>
      <w:szCs w:val="24"/>
    </w:rPr>
  </w:style>
  <w:style w:type="character" w:customStyle="1" w:styleId="CorpodetextoChar">
    <w:name w:val="Corpo de texto Char"/>
    <w:rPr>
      <w:color w:val="0000FF"/>
      <w:sz w:val="28"/>
      <w:szCs w:val="28"/>
    </w:rPr>
  </w:style>
  <w:style w:type="character" w:customStyle="1" w:styleId="Corpodetexto2Char">
    <w:name w:val="Corpo de texto 2 Char"/>
    <w:rPr>
      <w:color w:val="000000"/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Fontepargpadro2">
    <w:name w:val="Fonte parág. padrã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color w:val="0000FF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Bodytext1">
    <w:name w:val="Body text1"/>
    <w:basedOn w:val="Normal"/>
    <w:pPr>
      <w:spacing w:after="160"/>
    </w:pPr>
  </w:style>
  <w:style w:type="paragraph" w:customStyle="1" w:styleId="Textodecomentrio1">
    <w:name w:val="Texto de comentário1"/>
    <w:basedOn w:val="Normal"/>
  </w:style>
  <w:style w:type="paragraph" w:customStyle="1" w:styleId="NextPara">
    <w:name w:val="Next Para"/>
    <w:basedOn w:val="Normal"/>
    <w:pPr>
      <w:spacing w:after="120"/>
      <w:ind w:right="4320"/>
    </w:pPr>
  </w:style>
  <w:style w:type="paragraph" w:customStyle="1" w:styleId="NextBase">
    <w:name w:val="Next Base"/>
    <w:basedOn w:val="Normal"/>
    <w:rPr>
      <w:b/>
      <w:bCs/>
    </w:rPr>
  </w:style>
  <w:style w:type="paragraph" w:customStyle="1" w:styleId="Saudao1">
    <w:name w:val="Saudação1"/>
    <w:basedOn w:val="Bodytext1"/>
    <w:pPr>
      <w:spacing w:before="240" w:after="240"/>
    </w:pPr>
  </w:style>
  <w:style w:type="paragraph" w:customStyle="1" w:styleId="Address">
    <w:name w:val="Address"/>
    <w:basedOn w:val="Normal"/>
  </w:style>
  <w:style w:type="paragraph" w:customStyle="1" w:styleId="Data1">
    <w:name w:val="Data1"/>
    <w:basedOn w:val="Normal"/>
  </w:style>
  <w:style w:type="paragraph" w:customStyle="1" w:styleId="Encerramento1">
    <w:name w:val="Encerramento1"/>
    <w:basedOn w:val="Normal"/>
    <w:pPr>
      <w:ind w:left="4320"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color w:val="00000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extoprformatado">
    <w:name w:val="Texto préformatado"/>
    <w:basedOn w:val="Normal"/>
    <w:rPr>
      <w:rFonts w:ascii="Liberation Mono" w:eastAsia="NSimSun" w:hAnsi="Liberation Mono" w:cs="Liberation Mono"/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Codigo%20Tributario%20Municip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Codigo Tributario Municipal</Template>
  <TotalTime>0</TotalTime>
  <Pages>5</Pages>
  <Words>891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Informação</dc:title>
  <dc:subject/>
  <dc:creator>JURIDICO02</dc:creator>
  <cp:keywords/>
  <cp:lastModifiedBy>JURIDICO02</cp:lastModifiedBy>
  <cp:revision>2</cp:revision>
  <cp:lastPrinted>2025-04-15T16:19:00Z</cp:lastPrinted>
  <dcterms:created xsi:type="dcterms:W3CDTF">2025-06-24T19:25:00Z</dcterms:created>
  <dcterms:modified xsi:type="dcterms:W3CDTF">2025-06-24T19:25:00Z</dcterms:modified>
</cp:coreProperties>
</file>